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8E9" w:rsidRPr="00560266" w:rsidRDefault="00A708E9" w:rsidP="00560266">
      <w:bookmarkStart w:id="0" w:name="_GoBack"/>
      <w:bookmarkEnd w:id="0"/>
      <w:r>
        <w:rPr>
          <w:noProof/>
        </w:rPr>
        <w:drawing>
          <wp:anchor distT="0" distB="0" distL="114300" distR="114300" simplePos="0" relativeHeight="251658240" behindDoc="0" locked="0" layoutInCell="1" allowOverlap="1" wp14:anchorId="1A713562" wp14:editId="04199E16">
            <wp:simplePos x="0" y="0"/>
            <wp:positionH relativeFrom="margin">
              <wp:posOffset>3219450</wp:posOffset>
            </wp:positionH>
            <wp:positionV relativeFrom="paragraph">
              <wp:posOffset>-495300</wp:posOffset>
            </wp:positionV>
            <wp:extent cx="1628775" cy="7298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a:extLst>
                        <a:ext uri="{28A0092B-C50C-407E-A947-70E740481C1C}">
                          <a14:useLocalDpi xmlns:a14="http://schemas.microsoft.com/office/drawing/2010/main" val="0"/>
                        </a:ext>
                      </a:extLst>
                    </a:blip>
                    <a:stretch>
                      <a:fillRect/>
                    </a:stretch>
                  </pic:blipFill>
                  <pic:spPr>
                    <a:xfrm>
                      <a:off x="0" y="0"/>
                      <a:ext cx="1628775" cy="729875"/>
                    </a:xfrm>
                    <a:prstGeom prst="rect">
                      <a:avLst/>
                    </a:prstGeom>
                  </pic:spPr>
                </pic:pic>
              </a:graphicData>
            </a:graphic>
            <wp14:sizeRelH relativeFrom="page">
              <wp14:pctWidth>0</wp14:pctWidth>
            </wp14:sizeRelH>
            <wp14:sizeRelV relativeFrom="page">
              <wp14:pctHeight>0</wp14:pctHeight>
            </wp14:sizeRelV>
          </wp:anchor>
        </w:drawing>
      </w:r>
    </w:p>
    <w:p w:rsidR="00A708E9" w:rsidRPr="000A280A" w:rsidRDefault="009171EB" w:rsidP="007D41E7">
      <w:pPr>
        <w:pStyle w:val="Heading1"/>
        <w:jc w:val="center"/>
        <w:rPr>
          <w:rFonts w:ascii="Calibri" w:eastAsia="Times New Roman" w:hAnsi="Calibri" w:cs="Calibri"/>
          <w:color w:val="000000"/>
          <w:sz w:val="30"/>
          <w:szCs w:val="30"/>
        </w:rPr>
      </w:pPr>
      <w:r>
        <w:rPr>
          <w:rFonts w:ascii="Calibri" w:eastAsia="Times New Roman" w:hAnsi="Calibri" w:cs="Calibri"/>
          <w:color w:val="000000"/>
          <w:sz w:val="30"/>
          <w:szCs w:val="30"/>
          <w:u w:val="single"/>
        </w:rPr>
        <w:t xml:space="preserve">Onshore Government Authorities </w:t>
      </w:r>
      <w:r w:rsidR="00042FC6">
        <w:rPr>
          <w:rFonts w:ascii="Calibri" w:eastAsia="Times New Roman" w:hAnsi="Calibri" w:cs="Calibri"/>
          <w:color w:val="000000"/>
          <w:sz w:val="30"/>
          <w:szCs w:val="30"/>
          <w:u w:val="single"/>
        </w:rPr>
        <w:t>Approval</w:t>
      </w:r>
      <w:r w:rsidR="00A708E9" w:rsidRPr="000A280A">
        <w:rPr>
          <w:rFonts w:ascii="Calibri" w:eastAsia="Times New Roman" w:hAnsi="Calibri" w:cs="Calibri"/>
          <w:color w:val="000000"/>
          <w:sz w:val="30"/>
          <w:szCs w:val="30"/>
          <w:u w:val="single"/>
        </w:rPr>
        <w:t xml:space="preserve"> Guidelines</w:t>
      </w:r>
    </w:p>
    <w:p w:rsidR="00A708E9" w:rsidRPr="00560266" w:rsidRDefault="00A708E9" w:rsidP="00275260">
      <w:pPr>
        <w:pStyle w:val="NormalWeb"/>
        <w:spacing w:before="240" w:after="240" w:line="276" w:lineRule="auto"/>
        <w:rPr>
          <w:rFonts w:ascii="Calibri" w:hAnsi="Calibri" w:cs="Calibri"/>
          <w:color w:val="000000"/>
          <w:sz w:val="18"/>
          <w:szCs w:val="18"/>
        </w:rPr>
      </w:pPr>
      <w:r w:rsidRPr="00560266">
        <w:rPr>
          <w:rFonts w:ascii="Helvetica" w:hAnsi="Helvetica" w:cs="Helvetica"/>
          <w:color w:val="2E2E2E"/>
          <w:sz w:val="18"/>
          <w:szCs w:val="18"/>
        </w:rPr>
        <w:t xml:space="preserve">Abu Dhabi Global Market is a broad-based international financial </w:t>
      </w:r>
      <w:r w:rsidR="00BF2E8A" w:rsidRPr="00560266">
        <w:rPr>
          <w:rFonts w:ascii="Helvetica" w:hAnsi="Helvetica" w:cs="Helvetica"/>
          <w:color w:val="2E2E2E"/>
          <w:sz w:val="18"/>
          <w:szCs w:val="18"/>
        </w:rPr>
        <w:t>center</w:t>
      </w:r>
      <w:r w:rsidRPr="00560266">
        <w:rPr>
          <w:rFonts w:ascii="Helvetica" w:hAnsi="Helvetica" w:cs="Helvetica"/>
          <w:color w:val="2E2E2E"/>
          <w:sz w:val="18"/>
          <w:szCs w:val="18"/>
        </w:rPr>
        <w:t xml:space="preserve"> for local, regional and international institutions, established in accordance with the </w:t>
      </w:r>
      <w:hyperlink r:id="rId6" w:tgtFrame="_blank" w:history="1">
        <w:r w:rsidRPr="00560266">
          <w:rPr>
            <w:rStyle w:val="Hyperlink"/>
            <w:rFonts w:ascii="Helvetica" w:eastAsiaTheme="majorEastAsia" w:hAnsi="Helvetica" w:cs="Helvetica"/>
            <w:color w:val="AC975E"/>
            <w:sz w:val="18"/>
            <w:szCs w:val="18"/>
          </w:rPr>
          <w:t>Federal Law No (8) of 2004</w:t>
        </w:r>
      </w:hyperlink>
      <w:r w:rsidRPr="00560266">
        <w:rPr>
          <w:rFonts w:ascii="Helvetica" w:hAnsi="Helvetica" w:cs="Helvetica"/>
          <w:color w:val="2E2E2E"/>
          <w:sz w:val="18"/>
          <w:szCs w:val="18"/>
        </w:rPr>
        <w:t>, </w:t>
      </w:r>
      <w:hyperlink r:id="rId7" w:tgtFrame="_blank" w:history="1">
        <w:r w:rsidRPr="00560266">
          <w:rPr>
            <w:rStyle w:val="Hyperlink"/>
            <w:rFonts w:ascii="Helvetica" w:eastAsiaTheme="majorEastAsia" w:hAnsi="Helvetica" w:cs="Helvetica"/>
            <w:color w:val="AC975E"/>
            <w:sz w:val="18"/>
            <w:szCs w:val="18"/>
          </w:rPr>
          <w:t>Federal Decree No (15) of 2013</w:t>
        </w:r>
      </w:hyperlink>
      <w:r w:rsidRPr="00560266">
        <w:rPr>
          <w:rFonts w:ascii="Helvetica" w:hAnsi="Helvetica" w:cs="Helvetica"/>
          <w:color w:val="2E2E2E"/>
          <w:sz w:val="18"/>
          <w:szCs w:val="18"/>
        </w:rPr>
        <w:t>, </w:t>
      </w:r>
      <w:hyperlink r:id="rId8" w:tgtFrame="_blank" w:history="1">
        <w:r w:rsidRPr="00560266">
          <w:rPr>
            <w:rStyle w:val="Hyperlink"/>
            <w:rFonts w:ascii="Helvetica" w:eastAsiaTheme="majorEastAsia" w:hAnsi="Helvetica" w:cs="Helvetica"/>
            <w:color w:val="AC975E"/>
            <w:sz w:val="18"/>
            <w:szCs w:val="18"/>
          </w:rPr>
          <w:t>Cabinet Resolution No (4) of 2013</w:t>
        </w:r>
      </w:hyperlink>
      <w:r w:rsidRPr="00560266">
        <w:rPr>
          <w:rFonts w:ascii="Helvetica" w:hAnsi="Helvetica" w:cs="Helvetica"/>
          <w:color w:val="2E2E2E"/>
          <w:sz w:val="18"/>
          <w:szCs w:val="18"/>
        </w:rPr>
        <w:t>, and </w:t>
      </w:r>
      <w:hyperlink r:id="rId9" w:tgtFrame="_blank" w:history="1">
        <w:r w:rsidRPr="00560266">
          <w:rPr>
            <w:rStyle w:val="Hyperlink"/>
            <w:rFonts w:ascii="Helvetica" w:eastAsiaTheme="majorEastAsia" w:hAnsi="Helvetica" w:cs="Helvetica"/>
            <w:color w:val="AC975E"/>
            <w:sz w:val="18"/>
            <w:szCs w:val="18"/>
          </w:rPr>
          <w:t>Abu Dhabi Law No (4) of 2013</w:t>
        </w:r>
      </w:hyperlink>
      <w:r w:rsidRPr="00560266">
        <w:rPr>
          <w:rFonts w:ascii="Helvetica" w:hAnsi="Helvetica" w:cs="Helvetica"/>
          <w:color w:val="2E2E2E"/>
          <w:sz w:val="18"/>
          <w:szCs w:val="18"/>
        </w:rPr>
        <w:t>.</w:t>
      </w:r>
    </w:p>
    <w:p w:rsidR="00A708E9" w:rsidRPr="00560266" w:rsidRDefault="00A708E9" w:rsidP="00275260">
      <w:pPr>
        <w:pStyle w:val="NormalWeb"/>
        <w:spacing w:before="240" w:after="240" w:line="276" w:lineRule="auto"/>
        <w:rPr>
          <w:rFonts w:ascii="Calibri" w:hAnsi="Calibri" w:cs="Calibri"/>
          <w:color w:val="000000"/>
          <w:sz w:val="18"/>
          <w:szCs w:val="18"/>
        </w:rPr>
      </w:pPr>
      <w:r w:rsidRPr="00560266">
        <w:rPr>
          <w:rFonts w:ascii="Helvetica" w:hAnsi="Helvetica" w:cs="Helvetica"/>
          <w:color w:val="2E2E2E"/>
          <w:sz w:val="18"/>
          <w:szCs w:val="18"/>
        </w:rPr>
        <w:t>ADGM’s three independent authorities – the Registration Authority, the Financial Services Regulatory Authority (FSRA) and ADGM Courts – ensure that our business-friendly environment operates in line with international best practice that are recognized by major financial centers across the world.</w:t>
      </w:r>
    </w:p>
    <w:p w:rsidR="00042FC6" w:rsidRPr="00560266" w:rsidRDefault="00A708E9" w:rsidP="00560266">
      <w:pPr>
        <w:pStyle w:val="NormalWeb"/>
        <w:spacing w:before="240" w:after="240" w:line="276" w:lineRule="auto"/>
        <w:rPr>
          <w:rFonts w:ascii="Helvetica" w:hAnsi="Helvetica" w:cs="Helvetica"/>
          <w:color w:val="2E2E2E"/>
          <w:sz w:val="18"/>
          <w:szCs w:val="18"/>
        </w:rPr>
      </w:pPr>
      <w:r w:rsidRPr="00560266">
        <w:rPr>
          <w:rFonts w:ascii="Helvetica" w:hAnsi="Helvetica" w:cs="Helvetica"/>
          <w:color w:val="2E2E2E"/>
          <w:sz w:val="18"/>
          <w:szCs w:val="18"/>
        </w:rPr>
        <w:t xml:space="preserve">In collaboration with </w:t>
      </w:r>
      <w:r w:rsidR="00560266" w:rsidRPr="00560266">
        <w:rPr>
          <w:rFonts w:ascii="Helvetica" w:hAnsi="Helvetica" w:cs="Helvetica"/>
          <w:color w:val="2E2E2E"/>
          <w:sz w:val="18"/>
          <w:szCs w:val="18"/>
        </w:rPr>
        <w:t>other onshore government authorities</w:t>
      </w:r>
      <w:r w:rsidRPr="00560266">
        <w:rPr>
          <w:rFonts w:ascii="Helvetica" w:hAnsi="Helvetica" w:cs="Helvetica"/>
          <w:color w:val="2E2E2E"/>
          <w:sz w:val="18"/>
          <w:szCs w:val="18"/>
        </w:rPr>
        <w:t xml:space="preserve">, Abu Dhabi Global Market develops and supports </w:t>
      </w:r>
      <w:r w:rsidR="00560266" w:rsidRPr="00560266">
        <w:rPr>
          <w:rFonts w:ascii="Helvetica" w:hAnsi="Helvetica" w:cs="Helvetica"/>
          <w:color w:val="2E2E2E"/>
          <w:sz w:val="18"/>
          <w:szCs w:val="18"/>
        </w:rPr>
        <w:t>the Hotels, Tourism Establishments and Retailers</w:t>
      </w:r>
      <w:r w:rsidRPr="00560266">
        <w:rPr>
          <w:rFonts w:ascii="Helvetica" w:hAnsi="Helvetica" w:cs="Helvetica"/>
          <w:color w:val="2E2E2E"/>
          <w:sz w:val="18"/>
          <w:szCs w:val="18"/>
        </w:rPr>
        <w:t xml:space="preserve"> with the regulatory framework, legal jurisdiction and attractive business environment they need </w:t>
      </w:r>
      <w:r w:rsidR="00042FC6" w:rsidRPr="00560266">
        <w:rPr>
          <w:rFonts w:ascii="Helvetica" w:hAnsi="Helvetica" w:cs="Helvetica"/>
          <w:color w:val="2E2E2E"/>
          <w:sz w:val="18"/>
          <w:szCs w:val="18"/>
        </w:rPr>
        <w:t xml:space="preserve">for sustainable business growth. </w:t>
      </w:r>
    </w:p>
    <w:p w:rsidR="00042FC6" w:rsidRPr="00560266" w:rsidRDefault="00560266" w:rsidP="00042FC6">
      <w:pPr>
        <w:pStyle w:val="NormalWeb"/>
        <w:spacing w:before="240" w:after="240" w:line="276" w:lineRule="auto"/>
        <w:rPr>
          <w:rFonts w:ascii="Helvetica" w:hAnsi="Helvetica" w:cs="Helvetica"/>
          <w:color w:val="2E2E2E"/>
          <w:sz w:val="18"/>
          <w:szCs w:val="18"/>
        </w:rPr>
      </w:pPr>
      <w:r w:rsidRPr="00560266">
        <w:rPr>
          <w:rFonts w:ascii="Helvetica" w:hAnsi="Helvetica" w:cs="Helvetica"/>
          <w:color w:val="2E2E2E"/>
          <w:sz w:val="18"/>
          <w:szCs w:val="18"/>
        </w:rPr>
        <w:t xml:space="preserve">Therefore, </w:t>
      </w:r>
      <w:r w:rsidR="00042FC6" w:rsidRPr="00560266">
        <w:rPr>
          <w:rFonts w:ascii="Helvetica" w:hAnsi="Helvetica" w:cs="Helvetica"/>
          <w:color w:val="2E2E2E"/>
          <w:sz w:val="18"/>
          <w:szCs w:val="18"/>
        </w:rPr>
        <w:t>The Registration Authority in ADGM is adopting</w:t>
      </w:r>
      <w:r w:rsidRPr="00560266">
        <w:rPr>
          <w:rFonts w:ascii="Helvetica" w:hAnsi="Helvetica" w:cs="Helvetica"/>
          <w:color w:val="2E2E2E"/>
          <w:sz w:val="18"/>
          <w:szCs w:val="18"/>
        </w:rPr>
        <w:t xml:space="preserve"> a process</w:t>
      </w:r>
      <w:r w:rsidR="00042FC6" w:rsidRPr="00560266">
        <w:rPr>
          <w:rFonts w:ascii="Helvetica" w:hAnsi="Helvetica" w:cs="Helvetica"/>
          <w:color w:val="2E2E2E"/>
          <w:sz w:val="18"/>
          <w:szCs w:val="18"/>
        </w:rPr>
        <w:t xml:space="preserve"> that all retail businesses are required to obtain an Abu Dhabi government authorities approval prior operating the businesses based on the sector of each retailer as it shown at the following table:  </w:t>
      </w:r>
    </w:p>
    <w:tbl>
      <w:tblPr>
        <w:tblStyle w:val="TableGrid"/>
        <w:tblW w:w="12900" w:type="dxa"/>
        <w:tblInd w:w="-5" w:type="dxa"/>
        <w:tblLook w:val="04A0" w:firstRow="1" w:lastRow="0" w:firstColumn="1" w:lastColumn="0" w:noHBand="0" w:noVBand="1"/>
      </w:tblPr>
      <w:tblGrid>
        <w:gridCol w:w="567"/>
        <w:gridCol w:w="5670"/>
        <w:gridCol w:w="6663"/>
      </w:tblGrid>
      <w:tr w:rsidR="00560266" w:rsidRPr="00560266" w:rsidTr="00560266">
        <w:tc>
          <w:tcPr>
            <w:tcW w:w="567" w:type="dxa"/>
            <w:shd w:val="clear" w:color="auto" w:fill="FAF9F9" w:themeFill="background2" w:themeFillTint="33"/>
          </w:tcPr>
          <w:p w:rsidR="00042FC6" w:rsidRPr="00560266" w:rsidRDefault="00042FC6" w:rsidP="005A12F0">
            <w:pPr>
              <w:spacing w:before="60" w:after="60"/>
              <w:jc w:val="center"/>
              <w:rPr>
                <w:rFonts w:ascii="Calibri" w:eastAsia="Times New Roman" w:hAnsi="Calibri" w:cstheme="minorHAnsi"/>
                <w:b/>
                <w:bCs/>
                <w:iCs/>
                <w:color w:val="000000" w:themeColor="text1"/>
                <w:sz w:val="20"/>
                <w:szCs w:val="20"/>
                <w:lang w:eastAsia="ar-SA"/>
              </w:rPr>
            </w:pPr>
            <w:r w:rsidRPr="00560266">
              <w:rPr>
                <w:rFonts w:ascii="Calibri" w:eastAsia="Times New Roman" w:hAnsi="Calibri" w:cstheme="minorHAnsi"/>
                <w:b/>
                <w:bCs/>
                <w:iCs/>
                <w:color w:val="000000" w:themeColor="text1"/>
                <w:sz w:val="20"/>
                <w:szCs w:val="20"/>
                <w:lang w:eastAsia="ar-SA"/>
              </w:rPr>
              <w:t>No.</w:t>
            </w:r>
          </w:p>
        </w:tc>
        <w:tc>
          <w:tcPr>
            <w:tcW w:w="5670" w:type="dxa"/>
            <w:shd w:val="clear" w:color="auto" w:fill="FAF9F9" w:themeFill="background2" w:themeFillTint="33"/>
          </w:tcPr>
          <w:p w:rsidR="00042FC6" w:rsidRPr="00560266" w:rsidRDefault="00042FC6" w:rsidP="005A12F0">
            <w:pPr>
              <w:spacing w:before="60" w:after="60"/>
              <w:rPr>
                <w:rFonts w:ascii="Calibri" w:eastAsia="Times New Roman" w:hAnsi="Calibri" w:cstheme="minorHAnsi"/>
                <w:b/>
                <w:bCs/>
                <w:iCs/>
                <w:color w:val="000000" w:themeColor="text1"/>
                <w:sz w:val="20"/>
                <w:szCs w:val="20"/>
                <w:lang w:eastAsia="ar-SA"/>
              </w:rPr>
            </w:pPr>
            <w:r w:rsidRPr="00560266">
              <w:rPr>
                <w:rFonts w:ascii="Calibri" w:eastAsia="Times New Roman" w:hAnsi="Calibri" w:cstheme="minorHAnsi"/>
                <w:b/>
                <w:bCs/>
                <w:iCs/>
                <w:color w:val="000000" w:themeColor="text1"/>
                <w:sz w:val="20"/>
                <w:szCs w:val="20"/>
                <w:lang w:eastAsia="ar-SA"/>
              </w:rPr>
              <w:t>Authority</w:t>
            </w:r>
          </w:p>
        </w:tc>
        <w:tc>
          <w:tcPr>
            <w:tcW w:w="6663" w:type="dxa"/>
            <w:shd w:val="clear" w:color="auto" w:fill="FAF9F9" w:themeFill="background2" w:themeFillTint="33"/>
          </w:tcPr>
          <w:p w:rsidR="00042FC6" w:rsidRPr="00560266" w:rsidRDefault="00042FC6" w:rsidP="005A12F0">
            <w:pPr>
              <w:spacing w:before="60" w:after="60"/>
              <w:rPr>
                <w:rFonts w:ascii="Calibri" w:eastAsia="Times New Roman" w:hAnsi="Calibri" w:cstheme="minorHAnsi"/>
                <w:b/>
                <w:bCs/>
                <w:iCs/>
                <w:color w:val="000000" w:themeColor="text1"/>
                <w:sz w:val="20"/>
                <w:szCs w:val="20"/>
                <w:lang w:eastAsia="ar-SA"/>
              </w:rPr>
            </w:pPr>
            <w:r w:rsidRPr="00560266">
              <w:rPr>
                <w:rFonts w:ascii="Calibri" w:eastAsia="Times New Roman" w:hAnsi="Calibri" w:cstheme="minorHAnsi"/>
                <w:b/>
                <w:bCs/>
                <w:iCs/>
                <w:color w:val="000000" w:themeColor="text1"/>
                <w:sz w:val="20"/>
                <w:szCs w:val="20"/>
                <w:lang w:eastAsia="ar-SA"/>
              </w:rPr>
              <w:t>Applicable Activities</w:t>
            </w:r>
          </w:p>
        </w:tc>
      </w:tr>
      <w:tr w:rsidR="00560266" w:rsidRPr="00560266" w:rsidTr="00560266">
        <w:tc>
          <w:tcPr>
            <w:tcW w:w="567" w:type="dxa"/>
          </w:tcPr>
          <w:p w:rsidR="00042FC6" w:rsidRPr="00560266" w:rsidRDefault="00C15567" w:rsidP="005A12F0">
            <w:pPr>
              <w:spacing w:before="60" w:after="60"/>
              <w:jc w:val="center"/>
              <w:rPr>
                <w:rFonts w:ascii="Calibri" w:eastAsia="Times New Roman" w:hAnsi="Calibri" w:cstheme="minorHAnsi"/>
                <w:iCs/>
                <w:color w:val="000000" w:themeColor="text1"/>
                <w:sz w:val="20"/>
                <w:szCs w:val="20"/>
                <w:lang w:eastAsia="ar-SA"/>
              </w:rPr>
            </w:pPr>
            <w:r>
              <w:rPr>
                <w:rFonts w:ascii="Calibri" w:eastAsia="Times New Roman" w:hAnsi="Calibri" w:cstheme="minorHAnsi"/>
                <w:iCs/>
                <w:color w:val="000000" w:themeColor="text1"/>
                <w:sz w:val="20"/>
                <w:szCs w:val="20"/>
                <w:lang w:eastAsia="ar-SA"/>
              </w:rPr>
              <w:t>1</w:t>
            </w:r>
          </w:p>
        </w:tc>
        <w:tc>
          <w:tcPr>
            <w:tcW w:w="5670" w:type="dxa"/>
          </w:tcPr>
          <w:p w:rsidR="00042FC6" w:rsidRPr="00560266" w:rsidRDefault="00042FC6" w:rsidP="005A12F0">
            <w:pPr>
              <w:spacing w:before="60" w:after="60"/>
              <w:rPr>
                <w:rFonts w:ascii="Calibri" w:eastAsia="Times New Roman" w:hAnsi="Calibri" w:cstheme="minorHAnsi"/>
                <w:iCs/>
                <w:color w:val="000000" w:themeColor="text1"/>
                <w:sz w:val="20"/>
                <w:szCs w:val="20"/>
                <w:lang w:eastAsia="ar-SA"/>
              </w:rPr>
            </w:pPr>
            <w:r w:rsidRPr="00560266">
              <w:rPr>
                <w:rFonts w:ascii="Calibri" w:eastAsia="Times New Roman" w:hAnsi="Calibri" w:cstheme="minorHAnsi"/>
                <w:iCs/>
                <w:color w:val="000000" w:themeColor="text1"/>
                <w:sz w:val="20"/>
                <w:szCs w:val="20"/>
                <w:lang w:eastAsia="ar-SA"/>
              </w:rPr>
              <w:t>Abu Dhabi Civil Defense Department</w:t>
            </w:r>
          </w:p>
        </w:tc>
        <w:tc>
          <w:tcPr>
            <w:tcW w:w="6663" w:type="dxa"/>
          </w:tcPr>
          <w:p w:rsidR="00042FC6" w:rsidRPr="00560266" w:rsidRDefault="00042FC6" w:rsidP="005A12F0">
            <w:pPr>
              <w:spacing w:before="60" w:after="60"/>
              <w:rPr>
                <w:rFonts w:ascii="Calibri" w:eastAsia="Times New Roman" w:hAnsi="Calibri" w:cstheme="minorHAnsi"/>
                <w:iCs/>
                <w:color w:val="000000" w:themeColor="text1"/>
                <w:sz w:val="20"/>
                <w:szCs w:val="20"/>
                <w:lang w:eastAsia="ar-SA"/>
              </w:rPr>
            </w:pPr>
            <w:r w:rsidRPr="00560266">
              <w:rPr>
                <w:rFonts w:ascii="Calibri" w:eastAsia="Times New Roman" w:hAnsi="Calibri" w:cstheme="minorHAnsi"/>
                <w:iCs/>
                <w:color w:val="000000" w:themeColor="text1"/>
                <w:sz w:val="20"/>
                <w:szCs w:val="20"/>
                <w:lang w:eastAsia="ar-SA"/>
              </w:rPr>
              <w:t>All retail store locations.</w:t>
            </w:r>
          </w:p>
        </w:tc>
      </w:tr>
      <w:tr w:rsidR="00560266" w:rsidRPr="00560266" w:rsidTr="00560266">
        <w:tc>
          <w:tcPr>
            <w:tcW w:w="567" w:type="dxa"/>
          </w:tcPr>
          <w:p w:rsidR="00042FC6" w:rsidRPr="00560266" w:rsidRDefault="00C15567" w:rsidP="005A12F0">
            <w:pPr>
              <w:spacing w:before="60" w:after="60"/>
              <w:jc w:val="center"/>
              <w:rPr>
                <w:rFonts w:ascii="Calibri" w:eastAsia="Times New Roman" w:hAnsi="Calibri" w:cstheme="minorHAnsi"/>
                <w:iCs/>
                <w:color w:val="000000" w:themeColor="text1"/>
                <w:sz w:val="20"/>
                <w:szCs w:val="20"/>
                <w:lang w:eastAsia="ar-SA"/>
              </w:rPr>
            </w:pPr>
            <w:r>
              <w:rPr>
                <w:rFonts w:ascii="Calibri" w:eastAsia="Times New Roman" w:hAnsi="Calibri" w:cstheme="minorHAnsi"/>
                <w:iCs/>
                <w:color w:val="000000" w:themeColor="text1"/>
                <w:sz w:val="20"/>
                <w:szCs w:val="20"/>
                <w:lang w:eastAsia="ar-SA"/>
              </w:rPr>
              <w:t>2</w:t>
            </w:r>
          </w:p>
        </w:tc>
        <w:tc>
          <w:tcPr>
            <w:tcW w:w="5670" w:type="dxa"/>
          </w:tcPr>
          <w:p w:rsidR="00042FC6" w:rsidRPr="00560266" w:rsidRDefault="00042FC6" w:rsidP="005A12F0">
            <w:pPr>
              <w:spacing w:before="60" w:after="60"/>
              <w:rPr>
                <w:rFonts w:ascii="Calibri" w:eastAsia="Times New Roman" w:hAnsi="Calibri" w:cs="Calibri"/>
                <w:iCs/>
                <w:sz w:val="20"/>
                <w:szCs w:val="20"/>
                <w:lang w:eastAsia="ar-SA"/>
              </w:rPr>
            </w:pPr>
            <w:r w:rsidRPr="00560266">
              <w:rPr>
                <w:rFonts w:ascii="Calibri" w:eastAsia="Times New Roman" w:hAnsi="Calibri" w:cs="Calibri"/>
                <w:iCs/>
                <w:sz w:val="20"/>
                <w:szCs w:val="20"/>
                <w:lang w:eastAsia="ar-SA"/>
              </w:rPr>
              <w:t>Abu Dhabi Food Control Authority Permit</w:t>
            </w:r>
          </w:p>
        </w:tc>
        <w:tc>
          <w:tcPr>
            <w:tcW w:w="6663" w:type="dxa"/>
          </w:tcPr>
          <w:p w:rsidR="00042FC6" w:rsidRPr="00560266" w:rsidRDefault="00042FC6" w:rsidP="005A12F0">
            <w:pPr>
              <w:spacing w:before="60" w:after="60"/>
              <w:rPr>
                <w:rFonts w:ascii="Calibri" w:eastAsia="Times New Roman" w:hAnsi="Calibri" w:cs="Calibri"/>
                <w:iCs/>
                <w:sz w:val="20"/>
                <w:szCs w:val="20"/>
                <w:lang w:eastAsia="ar-SA"/>
              </w:rPr>
            </w:pPr>
            <w:r w:rsidRPr="00560266">
              <w:rPr>
                <w:rFonts w:ascii="Calibri" w:eastAsia="Times New Roman" w:hAnsi="Calibri" w:cs="Calibri"/>
                <w:iCs/>
                <w:sz w:val="20"/>
                <w:szCs w:val="20"/>
                <w:lang w:eastAsia="ar-SA"/>
              </w:rPr>
              <w:t xml:space="preserve">Food and beverage activities, including cafés and restaurants.  </w:t>
            </w:r>
          </w:p>
        </w:tc>
      </w:tr>
      <w:tr w:rsidR="00560266" w:rsidRPr="00560266" w:rsidTr="00560266">
        <w:tc>
          <w:tcPr>
            <w:tcW w:w="567" w:type="dxa"/>
          </w:tcPr>
          <w:p w:rsidR="00042FC6" w:rsidRPr="00560266" w:rsidRDefault="00C15567" w:rsidP="005A12F0">
            <w:pPr>
              <w:spacing w:before="60" w:after="60"/>
              <w:jc w:val="center"/>
              <w:rPr>
                <w:rFonts w:ascii="Calibri" w:eastAsia="Times New Roman" w:hAnsi="Calibri" w:cstheme="minorHAnsi"/>
                <w:iCs/>
                <w:color w:val="000000" w:themeColor="text1"/>
                <w:sz w:val="20"/>
                <w:szCs w:val="20"/>
                <w:lang w:eastAsia="ar-SA"/>
              </w:rPr>
            </w:pPr>
            <w:r>
              <w:rPr>
                <w:rFonts w:ascii="Calibri" w:eastAsia="Times New Roman" w:hAnsi="Calibri" w:cstheme="minorHAnsi"/>
                <w:iCs/>
                <w:color w:val="000000" w:themeColor="text1"/>
                <w:sz w:val="20"/>
                <w:szCs w:val="20"/>
                <w:lang w:eastAsia="ar-SA"/>
              </w:rPr>
              <w:lastRenderedPageBreak/>
              <w:t>3</w:t>
            </w:r>
          </w:p>
        </w:tc>
        <w:tc>
          <w:tcPr>
            <w:tcW w:w="5670" w:type="dxa"/>
          </w:tcPr>
          <w:p w:rsidR="00042FC6" w:rsidRPr="00560266" w:rsidRDefault="00042FC6" w:rsidP="005A12F0">
            <w:pPr>
              <w:spacing w:before="60" w:after="60"/>
              <w:rPr>
                <w:rFonts w:ascii="Calibri" w:eastAsia="Times New Roman" w:hAnsi="Calibri" w:cs="Calibri"/>
                <w:iCs/>
                <w:sz w:val="20"/>
                <w:szCs w:val="20"/>
                <w:lang w:eastAsia="ar-SA"/>
              </w:rPr>
            </w:pPr>
            <w:r w:rsidRPr="00560266">
              <w:rPr>
                <w:rFonts w:ascii="Calibri" w:eastAsia="Times New Roman" w:hAnsi="Calibri" w:cs="Calibri"/>
                <w:iCs/>
                <w:sz w:val="20"/>
                <w:szCs w:val="20"/>
                <w:lang w:eastAsia="ar-SA"/>
              </w:rPr>
              <w:t xml:space="preserve">Department of Municipal Affairs Abu Dhabi – Health Department </w:t>
            </w:r>
          </w:p>
        </w:tc>
        <w:tc>
          <w:tcPr>
            <w:tcW w:w="6663" w:type="dxa"/>
          </w:tcPr>
          <w:p w:rsidR="00042FC6" w:rsidRPr="00560266" w:rsidRDefault="00042FC6" w:rsidP="005A12F0">
            <w:pPr>
              <w:spacing w:before="60" w:after="60"/>
              <w:rPr>
                <w:rFonts w:ascii="Calibri" w:eastAsia="Times New Roman" w:hAnsi="Calibri" w:cs="Calibri"/>
                <w:iCs/>
                <w:sz w:val="20"/>
                <w:szCs w:val="20"/>
                <w:lang w:eastAsia="ar-SA"/>
              </w:rPr>
            </w:pPr>
            <w:r w:rsidRPr="00560266">
              <w:rPr>
                <w:rFonts w:ascii="Calibri" w:eastAsia="Times New Roman" w:hAnsi="Calibri" w:cs="Calibri"/>
                <w:iCs/>
                <w:sz w:val="20"/>
                <w:szCs w:val="20"/>
                <w:lang w:eastAsia="ar-SA"/>
              </w:rPr>
              <w:t>Public health and safety for beauty salons, Spas and massage centers</w:t>
            </w:r>
          </w:p>
        </w:tc>
      </w:tr>
      <w:tr w:rsidR="00560266" w:rsidRPr="00560266" w:rsidTr="00560266">
        <w:tc>
          <w:tcPr>
            <w:tcW w:w="567" w:type="dxa"/>
          </w:tcPr>
          <w:p w:rsidR="00042FC6" w:rsidRPr="00560266" w:rsidRDefault="00C15567" w:rsidP="005A12F0">
            <w:pPr>
              <w:spacing w:before="60" w:after="60"/>
              <w:jc w:val="center"/>
              <w:rPr>
                <w:rFonts w:ascii="Calibri" w:eastAsia="Times New Roman" w:hAnsi="Calibri" w:cstheme="minorHAnsi"/>
                <w:iCs/>
                <w:color w:val="000000" w:themeColor="text1"/>
                <w:sz w:val="20"/>
                <w:szCs w:val="20"/>
                <w:lang w:eastAsia="ar-SA"/>
              </w:rPr>
            </w:pPr>
            <w:r>
              <w:rPr>
                <w:rFonts w:ascii="Calibri" w:eastAsia="Times New Roman" w:hAnsi="Calibri" w:cstheme="minorHAnsi"/>
                <w:iCs/>
                <w:color w:val="000000" w:themeColor="text1"/>
                <w:sz w:val="20"/>
                <w:szCs w:val="20"/>
                <w:lang w:eastAsia="ar-SA"/>
              </w:rPr>
              <w:t>4</w:t>
            </w:r>
          </w:p>
        </w:tc>
        <w:tc>
          <w:tcPr>
            <w:tcW w:w="5670" w:type="dxa"/>
          </w:tcPr>
          <w:p w:rsidR="00042FC6" w:rsidRPr="00560266" w:rsidRDefault="00042FC6" w:rsidP="005A12F0">
            <w:pPr>
              <w:spacing w:before="60" w:after="60"/>
              <w:rPr>
                <w:rFonts w:ascii="Calibri" w:eastAsia="Times New Roman" w:hAnsi="Calibri" w:cs="Calibri"/>
                <w:iCs/>
                <w:sz w:val="20"/>
                <w:szCs w:val="20"/>
                <w:lang w:eastAsia="ar-SA"/>
              </w:rPr>
            </w:pPr>
            <w:r w:rsidRPr="00560266">
              <w:rPr>
                <w:rFonts w:ascii="Calibri" w:eastAsia="Times New Roman" w:hAnsi="Calibri" w:cs="Calibri"/>
                <w:iCs/>
                <w:sz w:val="20"/>
                <w:szCs w:val="20"/>
                <w:lang w:eastAsia="ar-SA"/>
              </w:rPr>
              <w:t>Department of Municipal Affairs Abu Dhabi</w:t>
            </w:r>
          </w:p>
        </w:tc>
        <w:tc>
          <w:tcPr>
            <w:tcW w:w="6663" w:type="dxa"/>
          </w:tcPr>
          <w:p w:rsidR="00042FC6" w:rsidRPr="00560266" w:rsidRDefault="00042FC6" w:rsidP="005A12F0">
            <w:pPr>
              <w:spacing w:before="60" w:after="60"/>
              <w:rPr>
                <w:rFonts w:ascii="Calibri" w:eastAsia="Times New Roman" w:hAnsi="Calibri" w:cs="Calibri"/>
                <w:iCs/>
                <w:sz w:val="20"/>
                <w:szCs w:val="20"/>
                <w:lang w:eastAsia="ar-SA"/>
              </w:rPr>
            </w:pPr>
            <w:r w:rsidRPr="00560266">
              <w:rPr>
                <w:rFonts w:ascii="Calibri" w:eastAsia="Times New Roman" w:hAnsi="Calibri" w:cs="Calibri"/>
                <w:iCs/>
                <w:sz w:val="20"/>
                <w:szCs w:val="20"/>
                <w:lang w:eastAsia="ar-SA"/>
              </w:rPr>
              <w:t>Real estate development.</w:t>
            </w:r>
          </w:p>
        </w:tc>
      </w:tr>
      <w:tr w:rsidR="00560266" w:rsidRPr="00560266" w:rsidTr="00560266">
        <w:tc>
          <w:tcPr>
            <w:tcW w:w="567" w:type="dxa"/>
          </w:tcPr>
          <w:p w:rsidR="00042FC6" w:rsidRPr="00560266" w:rsidRDefault="00C15567" w:rsidP="005A12F0">
            <w:pPr>
              <w:spacing w:before="60" w:after="60"/>
              <w:jc w:val="center"/>
              <w:rPr>
                <w:rFonts w:ascii="Calibri" w:eastAsia="Times New Roman" w:hAnsi="Calibri" w:cstheme="minorHAnsi"/>
                <w:iCs/>
                <w:color w:val="000000" w:themeColor="text1"/>
                <w:sz w:val="20"/>
                <w:szCs w:val="20"/>
                <w:lang w:eastAsia="ar-SA"/>
              </w:rPr>
            </w:pPr>
            <w:r>
              <w:rPr>
                <w:rFonts w:ascii="Calibri" w:eastAsia="Times New Roman" w:hAnsi="Calibri" w:cstheme="minorHAnsi"/>
                <w:iCs/>
                <w:color w:val="000000" w:themeColor="text1"/>
                <w:sz w:val="20"/>
                <w:szCs w:val="20"/>
                <w:lang w:eastAsia="ar-SA"/>
              </w:rPr>
              <w:t>5</w:t>
            </w:r>
          </w:p>
        </w:tc>
        <w:tc>
          <w:tcPr>
            <w:tcW w:w="5670" w:type="dxa"/>
          </w:tcPr>
          <w:p w:rsidR="00042FC6" w:rsidRPr="00560266" w:rsidRDefault="00042FC6" w:rsidP="005A12F0">
            <w:pPr>
              <w:spacing w:before="60" w:after="60"/>
              <w:rPr>
                <w:rFonts w:ascii="Calibri" w:eastAsia="Times New Roman" w:hAnsi="Calibri" w:cs="Calibri"/>
                <w:iCs/>
                <w:sz w:val="20"/>
                <w:szCs w:val="20"/>
                <w:lang w:eastAsia="ar-SA"/>
              </w:rPr>
            </w:pPr>
            <w:r w:rsidRPr="00560266">
              <w:rPr>
                <w:rFonts w:ascii="Calibri" w:eastAsia="Times New Roman" w:hAnsi="Calibri" w:cs="Calibri"/>
                <w:iCs/>
                <w:sz w:val="20"/>
                <w:szCs w:val="20"/>
                <w:lang w:eastAsia="ar-SA"/>
              </w:rPr>
              <w:t xml:space="preserve">Abu Dhabi Police GHQ </w:t>
            </w:r>
          </w:p>
        </w:tc>
        <w:tc>
          <w:tcPr>
            <w:tcW w:w="6663" w:type="dxa"/>
          </w:tcPr>
          <w:p w:rsidR="00042FC6" w:rsidRPr="00560266" w:rsidRDefault="00042FC6" w:rsidP="005A12F0">
            <w:pPr>
              <w:spacing w:before="60" w:after="60"/>
              <w:rPr>
                <w:rFonts w:ascii="Calibri" w:eastAsia="Times New Roman" w:hAnsi="Calibri" w:cs="Calibri"/>
                <w:iCs/>
                <w:sz w:val="20"/>
                <w:szCs w:val="20"/>
                <w:lang w:eastAsia="ar-SA"/>
              </w:rPr>
            </w:pPr>
            <w:r w:rsidRPr="00560266">
              <w:rPr>
                <w:rFonts w:ascii="Calibri" w:eastAsia="Times New Roman" w:hAnsi="Calibri" w:cs="Calibri"/>
                <w:iCs/>
                <w:sz w:val="20"/>
                <w:szCs w:val="20"/>
                <w:lang w:eastAsia="ar-SA"/>
              </w:rPr>
              <w:t>Jewelry shops</w:t>
            </w:r>
            <w:r w:rsidR="00560266" w:rsidRPr="00560266">
              <w:rPr>
                <w:rFonts w:ascii="Calibri" w:eastAsia="Times New Roman" w:hAnsi="Calibri" w:cs="Calibri"/>
                <w:iCs/>
                <w:sz w:val="20"/>
                <w:szCs w:val="20"/>
                <w:lang w:eastAsia="ar-SA"/>
              </w:rPr>
              <w:t xml:space="preserve"> and precious metal dealing stores.</w:t>
            </w:r>
          </w:p>
        </w:tc>
      </w:tr>
      <w:tr w:rsidR="00560266" w:rsidRPr="00560266" w:rsidTr="00560266">
        <w:tc>
          <w:tcPr>
            <w:tcW w:w="567" w:type="dxa"/>
          </w:tcPr>
          <w:p w:rsidR="00042FC6" w:rsidRPr="00560266" w:rsidRDefault="00C15567" w:rsidP="005A12F0">
            <w:pPr>
              <w:spacing w:before="60" w:after="60"/>
              <w:jc w:val="center"/>
              <w:rPr>
                <w:rFonts w:ascii="Calibri" w:eastAsia="Times New Roman" w:hAnsi="Calibri" w:cstheme="minorHAnsi"/>
                <w:iCs/>
                <w:color w:val="000000" w:themeColor="text1"/>
                <w:sz w:val="20"/>
                <w:szCs w:val="20"/>
                <w:lang w:eastAsia="ar-SA"/>
              </w:rPr>
            </w:pPr>
            <w:r>
              <w:rPr>
                <w:rFonts w:ascii="Calibri" w:eastAsia="Times New Roman" w:hAnsi="Calibri" w:cstheme="minorHAnsi"/>
                <w:iCs/>
                <w:color w:val="000000" w:themeColor="text1"/>
                <w:sz w:val="20"/>
                <w:szCs w:val="20"/>
                <w:lang w:eastAsia="ar-SA"/>
              </w:rPr>
              <w:t>6</w:t>
            </w:r>
          </w:p>
        </w:tc>
        <w:tc>
          <w:tcPr>
            <w:tcW w:w="5670" w:type="dxa"/>
          </w:tcPr>
          <w:p w:rsidR="00042FC6" w:rsidRPr="00560266" w:rsidRDefault="00042FC6" w:rsidP="005A12F0">
            <w:pPr>
              <w:spacing w:before="60" w:after="60"/>
              <w:rPr>
                <w:rFonts w:ascii="Calibri" w:eastAsia="Times New Roman" w:hAnsi="Calibri" w:cs="Calibri"/>
                <w:iCs/>
                <w:sz w:val="20"/>
                <w:szCs w:val="20"/>
                <w:lang w:eastAsia="ar-SA"/>
              </w:rPr>
            </w:pPr>
            <w:r w:rsidRPr="00560266">
              <w:rPr>
                <w:rFonts w:ascii="Calibri" w:eastAsia="Times New Roman" w:hAnsi="Calibri" w:cs="Calibri"/>
                <w:iCs/>
                <w:sz w:val="20"/>
                <w:szCs w:val="20"/>
                <w:lang w:eastAsia="ar-SA"/>
              </w:rPr>
              <w:t>Abu Dhabi Media Authority</w:t>
            </w:r>
          </w:p>
        </w:tc>
        <w:tc>
          <w:tcPr>
            <w:tcW w:w="6663" w:type="dxa"/>
          </w:tcPr>
          <w:p w:rsidR="00042FC6" w:rsidRPr="00560266" w:rsidRDefault="00042FC6" w:rsidP="00560266">
            <w:pPr>
              <w:spacing w:before="60" w:after="60"/>
              <w:rPr>
                <w:rFonts w:ascii="Calibri" w:eastAsia="Times New Roman" w:hAnsi="Calibri" w:cs="Calibri"/>
                <w:iCs/>
                <w:sz w:val="20"/>
                <w:szCs w:val="20"/>
                <w:lang w:eastAsia="ar-SA"/>
              </w:rPr>
            </w:pPr>
            <w:r w:rsidRPr="00560266">
              <w:rPr>
                <w:rFonts w:ascii="Calibri" w:eastAsia="Times New Roman" w:hAnsi="Calibri" w:cs="Calibri"/>
                <w:iCs/>
                <w:sz w:val="20"/>
                <w:szCs w:val="20"/>
                <w:lang w:eastAsia="ar-SA"/>
              </w:rPr>
              <w:t>Media related activities</w:t>
            </w:r>
            <w:r w:rsidR="00560266" w:rsidRPr="00560266">
              <w:rPr>
                <w:rFonts w:ascii="Calibri" w:eastAsia="Times New Roman" w:hAnsi="Calibri" w:cs="Calibri"/>
                <w:iCs/>
                <w:sz w:val="20"/>
                <w:szCs w:val="20"/>
                <w:lang w:eastAsia="ar-SA"/>
              </w:rPr>
              <w:t xml:space="preserve"> e.g. libraries, bookshops and Cinema. etc. </w:t>
            </w:r>
          </w:p>
        </w:tc>
      </w:tr>
      <w:tr w:rsidR="00560266" w:rsidRPr="00560266" w:rsidTr="00560266">
        <w:tc>
          <w:tcPr>
            <w:tcW w:w="567" w:type="dxa"/>
          </w:tcPr>
          <w:p w:rsidR="00042FC6" w:rsidRPr="00560266" w:rsidRDefault="00C15567" w:rsidP="005A12F0">
            <w:pPr>
              <w:spacing w:before="60" w:after="60"/>
              <w:jc w:val="center"/>
              <w:rPr>
                <w:rFonts w:ascii="Calibri" w:eastAsia="Times New Roman" w:hAnsi="Calibri" w:cstheme="minorHAnsi"/>
                <w:iCs/>
                <w:color w:val="000000" w:themeColor="text1"/>
                <w:sz w:val="20"/>
                <w:szCs w:val="20"/>
                <w:lang w:eastAsia="ar-SA"/>
              </w:rPr>
            </w:pPr>
            <w:r>
              <w:rPr>
                <w:rFonts w:ascii="Calibri" w:eastAsia="Times New Roman" w:hAnsi="Calibri" w:cstheme="minorHAnsi"/>
                <w:iCs/>
                <w:color w:val="000000" w:themeColor="text1"/>
                <w:sz w:val="20"/>
                <w:szCs w:val="20"/>
                <w:lang w:eastAsia="ar-SA"/>
              </w:rPr>
              <w:t>7</w:t>
            </w:r>
          </w:p>
        </w:tc>
        <w:tc>
          <w:tcPr>
            <w:tcW w:w="5670" w:type="dxa"/>
          </w:tcPr>
          <w:p w:rsidR="00042FC6" w:rsidRPr="00560266" w:rsidRDefault="00042FC6" w:rsidP="005A12F0">
            <w:pPr>
              <w:spacing w:before="60" w:after="60"/>
              <w:rPr>
                <w:rFonts w:ascii="Calibri" w:eastAsia="Times New Roman" w:hAnsi="Calibri" w:cs="Calibri"/>
                <w:iCs/>
                <w:sz w:val="20"/>
                <w:szCs w:val="20"/>
                <w:lang w:eastAsia="ar-SA"/>
              </w:rPr>
            </w:pPr>
            <w:r w:rsidRPr="00560266">
              <w:rPr>
                <w:rFonts w:ascii="Calibri" w:eastAsia="Times New Roman" w:hAnsi="Calibri" w:cs="Calibri"/>
                <w:iCs/>
                <w:sz w:val="20"/>
                <w:szCs w:val="20"/>
                <w:lang w:eastAsia="ar-SA"/>
              </w:rPr>
              <w:t xml:space="preserve">Abu Dhabi Tourism &amp; Culture Authority  </w:t>
            </w:r>
          </w:p>
        </w:tc>
        <w:tc>
          <w:tcPr>
            <w:tcW w:w="6663" w:type="dxa"/>
          </w:tcPr>
          <w:p w:rsidR="00042FC6" w:rsidRPr="00560266" w:rsidRDefault="00042FC6" w:rsidP="005A12F0">
            <w:pPr>
              <w:spacing w:before="60" w:after="60"/>
              <w:rPr>
                <w:rFonts w:ascii="Calibri" w:eastAsia="Times New Roman" w:hAnsi="Calibri" w:cs="Calibri"/>
                <w:iCs/>
                <w:sz w:val="20"/>
                <w:szCs w:val="20"/>
                <w:lang w:eastAsia="ar-SA"/>
              </w:rPr>
            </w:pPr>
            <w:r w:rsidRPr="00560266">
              <w:rPr>
                <w:rFonts w:ascii="Calibri" w:hAnsi="Calibri" w:cs="Calibri"/>
                <w:sz w:val="20"/>
                <w:szCs w:val="20"/>
                <w:lang w:val="en-GB"/>
              </w:rPr>
              <w:t>Hotels &amp; tourism establishments</w:t>
            </w:r>
          </w:p>
        </w:tc>
      </w:tr>
      <w:tr w:rsidR="00560266" w:rsidRPr="00560266" w:rsidTr="00560266">
        <w:tc>
          <w:tcPr>
            <w:tcW w:w="567" w:type="dxa"/>
          </w:tcPr>
          <w:p w:rsidR="00042FC6" w:rsidRPr="00560266" w:rsidRDefault="00C15567" w:rsidP="005A12F0">
            <w:pPr>
              <w:spacing w:before="60" w:after="60"/>
              <w:jc w:val="center"/>
              <w:rPr>
                <w:rFonts w:ascii="Calibri" w:eastAsia="Times New Roman" w:hAnsi="Calibri" w:cstheme="minorHAnsi"/>
                <w:iCs/>
                <w:color w:val="000000" w:themeColor="text1"/>
                <w:sz w:val="20"/>
                <w:szCs w:val="20"/>
                <w:lang w:eastAsia="ar-SA"/>
              </w:rPr>
            </w:pPr>
            <w:r>
              <w:rPr>
                <w:rFonts w:ascii="Calibri" w:eastAsia="Times New Roman" w:hAnsi="Calibri" w:cstheme="minorHAnsi"/>
                <w:iCs/>
                <w:color w:val="000000" w:themeColor="text1"/>
                <w:sz w:val="20"/>
                <w:szCs w:val="20"/>
                <w:lang w:eastAsia="ar-SA"/>
              </w:rPr>
              <w:t>8</w:t>
            </w:r>
          </w:p>
        </w:tc>
        <w:tc>
          <w:tcPr>
            <w:tcW w:w="5670" w:type="dxa"/>
          </w:tcPr>
          <w:p w:rsidR="00042FC6" w:rsidRPr="00560266" w:rsidRDefault="00042FC6" w:rsidP="005A12F0">
            <w:pPr>
              <w:spacing w:before="60" w:after="60"/>
              <w:rPr>
                <w:rFonts w:ascii="Calibri" w:eastAsia="Times New Roman" w:hAnsi="Calibri" w:cs="Calibri"/>
                <w:iCs/>
                <w:sz w:val="20"/>
                <w:szCs w:val="20"/>
                <w:lang w:eastAsia="ar-SA"/>
              </w:rPr>
            </w:pPr>
            <w:r w:rsidRPr="00560266">
              <w:rPr>
                <w:rFonts w:ascii="Calibri" w:eastAsia="Times New Roman" w:hAnsi="Calibri" w:cs="Calibri"/>
                <w:iCs/>
                <w:sz w:val="20"/>
                <w:szCs w:val="20"/>
                <w:lang w:eastAsia="ar-SA"/>
              </w:rPr>
              <w:t xml:space="preserve">Health Authority Abu Dhabi </w:t>
            </w:r>
          </w:p>
        </w:tc>
        <w:tc>
          <w:tcPr>
            <w:tcW w:w="6663" w:type="dxa"/>
          </w:tcPr>
          <w:p w:rsidR="00042FC6" w:rsidRPr="00560266" w:rsidRDefault="00042FC6" w:rsidP="005A12F0">
            <w:pPr>
              <w:spacing w:before="60" w:after="60"/>
              <w:rPr>
                <w:rFonts w:ascii="Calibri" w:eastAsia="Times New Roman" w:hAnsi="Calibri" w:cs="Calibri"/>
                <w:iCs/>
                <w:sz w:val="20"/>
                <w:szCs w:val="20"/>
                <w:lang w:eastAsia="ar-SA"/>
              </w:rPr>
            </w:pPr>
            <w:r w:rsidRPr="00560266">
              <w:rPr>
                <w:rFonts w:ascii="Calibri" w:hAnsi="Calibri" w:cs="Calibri"/>
                <w:sz w:val="20"/>
                <w:szCs w:val="20"/>
                <w:lang w:val="en-GB"/>
              </w:rPr>
              <w:t>Hospitals &amp; medical centres</w:t>
            </w:r>
          </w:p>
        </w:tc>
      </w:tr>
      <w:tr w:rsidR="00560266" w:rsidRPr="00560266" w:rsidTr="00560266">
        <w:tc>
          <w:tcPr>
            <w:tcW w:w="567" w:type="dxa"/>
          </w:tcPr>
          <w:p w:rsidR="00560266" w:rsidRPr="00560266" w:rsidRDefault="00C15567" w:rsidP="00560266">
            <w:pPr>
              <w:spacing w:before="60" w:after="60"/>
              <w:jc w:val="center"/>
              <w:rPr>
                <w:rFonts w:ascii="Calibri" w:eastAsia="Times New Roman" w:hAnsi="Calibri" w:cstheme="minorHAnsi"/>
                <w:iCs/>
                <w:color w:val="000000" w:themeColor="text1"/>
                <w:sz w:val="20"/>
                <w:szCs w:val="20"/>
                <w:lang w:eastAsia="ar-SA"/>
              </w:rPr>
            </w:pPr>
            <w:r>
              <w:rPr>
                <w:rFonts w:ascii="Calibri" w:eastAsia="Times New Roman" w:hAnsi="Calibri" w:cstheme="minorHAnsi"/>
                <w:iCs/>
                <w:color w:val="000000" w:themeColor="text1"/>
                <w:sz w:val="20"/>
                <w:szCs w:val="20"/>
                <w:lang w:eastAsia="ar-SA"/>
              </w:rPr>
              <w:t>9</w:t>
            </w:r>
          </w:p>
        </w:tc>
        <w:tc>
          <w:tcPr>
            <w:tcW w:w="5670" w:type="dxa"/>
          </w:tcPr>
          <w:p w:rsidR="00560266" w:rsidRPr="00560266" w:rsidRDefault="00560266" w:rsidP="00560266">
            <w:pPr>
              <w:spacing w:before="60" w:after="60"/>
              <w:rPr>
                <w:rFonts w:ascii="Calibri" w:hAnsi="Calibri" w:cs="Calibri"/>
                <w:sz w:val="20"/>
                <w:szCs w:val="20"/>
                <w:lang w:val="en-GB"/>
              </w:rPr>
            </w:pPr>
            <w:r w:rsidRPr="00560266">
              <w:rPr>
                <w:rFonts w:ascii="Calibri" w:hAnsi="Calibri" w:cs="Calibri"/>
                <w:sz w:val="20"/>
                <w:szCs w:val="20"/>
                <w:lang w:val="en-GB"/>
              </w:rPr>
              <w:t xml:space="preserve">ADGM Corporate Relation Division </w:t>
            </w:r>
          </w:p>
        </w:tc>
        <w:tc>
          <w:tcPr>
            <w:tcW w:w="6663" w:type="dxa"/>
          </w:tcPr>
          <w:p w:rsidR="00560266" w:rsidRPr="00560266" w:rsidRDefault="00560266" w:rsidP="00560266">
            <w:pPr>
              <w:spacing w:before="60" w:after="60"/>
              <w:rPr>
                <w:rFonts w:ascii="Calibri" w:hAnsi="Calibri" w:cs="Calibri"/>
                <w:sz w:val="20"/>
                <w:szCs w:val="20"/>
                <w:lang w:val="en-GB"/>
              </w:rPr>
            </w:pPr>
            <w:r w:rsidRPr="00560266">
              <w:rPr>
                <w:rFonts w:ascii="Calibri" w:eastAsia="Times New Roman" w:hAnsi="Calibri" w:cs="Calibri"/>
                <w:iCs/>
                <w:sz w:val="20"/>
                <w:szCs w:val="20"/>
                <w:lang w:eastAsia="ar-SA"/>
              </w:rPr>
              <w:t xml:space="preserve">Al Alcohol Permits for </w:t>
            </w:r>
            <w:r w:rsidRPr="00560266">
              <w:rPr>
                <w:rFonts w:ascii="Calibri" w:hAnsi="Calibri" w:cs="Calibri"/>
                <w:sz w:val="20"/>
                <w:szCs w:val="20"/>
                <w:lang w:val="en-GB"/>
              </w:rPr>
              <w:t>Hotels &amp; tourism establishments</w:t>
            </w:r>
          </w:p>
        </w:tc>
      </w:tr>
    </w:tbl>
    <w:p w:rsidR="00042FC6" w:rsidRPr="00560266" w:rsidRDefault="00042FC6" w:rsidP="00275260">
      <w:pPr>
        <w:pStyle w:val="NormalWeb"/>
        <w:spacing w:before="240" w:after="240" w:line="276" w:lineRule="auto"/>
        <w:rPr>
          <w:rFonts w:ascii="Helvetica" w:hAnsi="Helvetica" w:cs="Helvetica"/>
          <w:color w:val="2E2E2E"/>
          <w:sz w:val="2"/>
          <w:szCs w:val="2"/>
        </w:rPr>
      </w:pPr>
    </w:p>
    <w:p w:rsidR="00A708E9" w:rsidRPr="00560266" w:rsidRDefault="00A708E9" w:rsidP="00275260">
      <w:pPr>
        <w:pStyle w:val="Heading2"/>
        <w:rPr>
          <w:rFonts w:ascii="Calibri" w:eastAsia="Times New Roman" w:hAnsi="Calibri" w:cs="Calibri"/>
          <w:color w:val="000000"/>
          <w:sz w:val="24"/>
          <w:szCs w:val="24"/>
        </w:rPr>
      </w:pPr>
      <w:r w:rsidRPr="00560266">
        <w:rPr>
          <w:rFonts w:ascii="Calibri" w:eastAsia="Times New Roman" w:hAnsi="Calibri" w:cs="Calibri"/>
          <w:color w:val="000000"/>
          <w:sz w:val="24"/>
          <w:szCs w:val="24"/>
        </w:rPr>
        <w:t>For Further Information, please contact us:</w:t>
      </w:r>
    </w:p>
    <w:p w:rsidR="00A708E9" w:rsidRPr="00560266" w:rsidRDefault="00A708E9" w:rsidP="0033494F">
      <w:pPr>
        <w:pStyle w:val="NormalWeb"/>
        <w:rPr>
          <w:rFonts w:ascii="Helvetica" w:hAnsi="Helvetica" w:cs="Helvetica"/>
          <w:b/>
          <w:bCs/>
          <w:color w:val="2E2E2E"/>
          <w:sz w:val="26"/>
          <w:szCs w:val="26"/>
        </w:rPr>
      </w:pPr>
      <w:r w:rsidRPr="00560266">
        <w:rPr>
          <w:rFonts w:ascii="Helvetica" w:hAnsi="Helvetica" w:cs="Helvetica"/>
          <w:color w:val="2E2E2E"/>
          <w:sz w:val="18"/>
          <w:szCs w:val="18"/>
        </w:rPr>
        <w:t xml:space="preserve">Email Address: </w:t>
      </w:r>
      <w:r w:rsidR="0033494F">
        <w:rPr>
          <w:rStyle w:val="Hyperlink"/>
          <w:rFonts w:ascii="Helvetica" w:hAnsi="Helvetica" w:cs="Helvetica"/>
          <w:sz w:val="18"/>
          <w:szCs w:val="18"/>
        </w:rPr>
        <w:t>adgm.registration@adgm.com</w:t>
      </w:r>
      <w:hyperlink r:id="rId10" w:history="1"/>
    </w:p>
    <w:p w:rsidR="00EB57E4" w:rsidRDefault="00EB57E4"/>
    <w:sectPr w:rsidR="00EB57E4" w:rsidSect="00560266">
      <w:pgSz w:w="15840" w:h="12240" w:orient="landscape"/>
      <w:pgMar w:top="1440" w:right="1440" w:bottom="709"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359C6"/>
    <w:multiLevelType w:val="hybridMultilevel"/>
    <w:tmpl w:val="9AC293CA"/>
    <w:lvl w:ilvl="0" w:tplc="13D8CB16">
      <w:start w:val="1"/>
      <w:numFmt w:val="decimal"/>
      <w:lvlText w:val="%1."/>
      <w:lvlJc w:val="left"/>
      <w:pPr>
        <w:ind w:left="502" w:hanging="360"/>
      </w:pPr>
      <w:rPr>
        <w:rFonts w:hint="default"/>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8E9"/>
    <w:rsid w:val="00042FC6"/>
    <w:rsid w:val="000A280A"/>
    <w:rsid w:val="00275260"/>
    <w:rsid w:val="0033494F"/>
    <w:rsid w:val="0037261E"/>
    <w:rsid w:val="00445DF0"/>
    <w:rsid w:val="00560266"/>
    <w:rsid w:val="007D41E7"/>
    <w:rsid w:val="009171EB"/>
    <w:rsid w:val="00A708E9"/>
    <w:rsid w:val="00BF2E8A"/>
    <w:rsid w:val="00C15567"/>
    <w:rsid w:val="00EB57E4"/>
    <w:rsid w:val="00FF46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8067E-DA07-46EA-ACA9-B4B32492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08E9"/>
    <w:pPr>
      <w:spacing w:before="100" w:beforeAutospacing="1" w:after="100" w:afterAutospacing="1" w:line="240" w:lineRule="auto"/>
      <w:outlineLvl w:val="0"/>
    </w:pPr>
    <w:rPr>
      <w:rFonts w:ascii="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A708E9"/>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A708E9"/>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8E9"/>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708E9"/>
    <w:rPr>
      <w:rFonts w:ascii="Times New Roman" w:hAnsi="Times New Roman" w:cs="Times New Roman"/>
      <w:b/>
      <w:bCs/>
      <w:sz w:val="36"/>
      <w:szCs w:val="36"/>
    </w:rPr>
  </w:style>
  <w:style w:type="character" w:customStyle="1" w:styleId="Heading3Char">
    <w:name w:val="Heading 3 Char"/>
    <w:basedOn w:val="DefaultParagraphFont"/>
    <w:link w:val="Heading3"/>
    <w:uiPriority w:val="9"/>
    <w:semiHidden/>
    <w:rsid w:val="00A708E9"/>
    <w:rPr>
      <w:rFonts w:ascii="Times New Roman" w:hAnsi="Times New Roman" w:cs="Times New Roman"/>
      <w:b/>
      <w:bCs/>
      <w:sz w:val="27"/>
      <w:szCs w:val="27"/>
    </w:rPr>
  </w:style>
  <w:style w:type="character" w:styleId="Hyperlink">
    <w:name w:val="Hyperlink"/>
    <w:basedOn w:val="DefaultParagraphFont"/>
    <w:uiPriority w:val="99"/>
    <w:unhideWhenUsed/>
    <w:rsid w:val="00A708E9"/>
    <w:rPr>
      <w:color w:val="0000FF"/>
      <w:u w:val="single"/>
    </w:rPr>
  </w:style>
  <w:style w:type="paragraph" w:styleId="NormalWeb">
    <w:name w:val="Normal (Web)"/>
    <w:basedOn w:val="Normal"/>
    <w:uiPriority w:val="99"/>
    <w:unhideWhenUsed/>
    <w:rsid w:val="00A708E9"/>
    <w:pPr>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F2E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2E8A"/>
    <w:rPr>
      <w:rFonts w:ascii="Segoe UI" w:hAnsi="Segoe UI" w:cs="Segoe UI"/>
      <w:sz w:val="18"/>
      <w:szCs w:val="18"/>
    </w:rPr>
  </w:style>
  <w:style w:type="table" w:styleId="TableGrid">
    <w:name w:val="Table Grid"/>
    <w:basedOn w:val="TableNormal"/>
    <w:rsid w:val="00042F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42FC6"/>
    <w:pPr>
      <w:spacing w:after="0" w:line="240" w:lineRule="auto"/>
      <w:ind w:left="720"/>
      <w:contextualSpacing/>
    </w:pPr>
    <w:rPr>
      <w:sz w:val="17"/>
    </w:rPr>
  </w:style>
  <w:style w:type="paragraph" w:styleId="HTMLPreformatted">
    <w:name w:val="HTML Preformatted"/>
    <w:basedOn w:val="Normal"/>
    <w:link w:val="HTMLPreformattedChar"/>
    <w:uiPriority w:val="99"/>
    <w:semiHidden/>
    <w:unhideWhenUsed/>
    <w:rsid w:val="00560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60266"/>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051868">
      <w:bodyDiv w:val="1"/>
      <w:marLeft w:val="0"/>
      <w:marRight w:val="0"/>
      <w:marTop w:val="0"/>
      <w:marBottom w:val="0"/>
      <w:divBdr>
        <w:top w:val="none" w:sz="0" w:space="0" w:color="auto"/>
        <w:left w:val="none" w:sz="0" w:space="0" w:color="auto"/>
        <w:bottom w:val="none" w:sz="0" w:space="0" w:color="auto"/>
        <w:right w:val="none" w:sz="0" w:space="0" w:color="auto"/>
      </w:divBdr>
    </w:div>
    <w:div w:id="1814785250">
      <w:bodyDiv w:val="1"/>
      <w:marLeft w:val="0"/>
      <w:marRight w:val="0"/>
      <w:marTop w:val="0"/>
      <w:marBottom w:val="0"/>
      <w:divBdr>
        <w:top w:val="none" w:sz="0" w:space="0" w:color="auto"/>
        <w:left w:val="none" w:sz="0" w:space="0" w:color="auto"/>
        <w:bottom w:val="none" w:sz="0" w:space="0" w:color="auto"/>
        <w:right w:val="none" w:sz="0" w:space="0" w:color="auto"/>
      </w:divBdr>
      <w:divsChild>
        <w:div w:id="1899391820">
          <w:marLeft w:val="0"/>
          <w:marRight w:val="0"/>
          <w:marTop w:val="0"/>
          <w:marBottom w:val="0"/>
          <w:divBdr>
            <w:top w:val="none" w:sz="0" w:space="0" w:color="auto"/>
            <w:left w:val="none" w:sz="0" w:space="0" w:color="auto"/>
            <w:bottom w:val="none" w:sz="0" w:space="0" w:color="auto"/>
            <w:right w:val="none" w:sz="0" w:space="0" w:color="auto"/>
          </w:divBdr>
          <w:divsChild>
            <w:div w:id="708531986">
              <w:marLeft w:val="0"/>
              <w:marRight w:val="0"/>
              <w:marTop w:val="0"/>
              <w:marBottom w:val="0"/>
              <w:divBdr>
                <w:top w:val="none" w:sz="0" w:space="0" w:color="auto"/>
                <w:left w:val="none" w:sz="0" w:space="0" w:color="auto"/>
                <w:bottom w:val="none" w:sz="0" w:space="0" w:color="auto"/>
                <w:right w:val="none" w:sz="0" w:space="0" w:color="auto"/>
              </w:divBdr>
              <w:divsChild>
                <w:div w:id="1747259264">
                  <w:marLeft w:val="0"/>
                  <w:marRight w:val="0"/>
                  <w:marTop w:val="0"/>
                  <w:marBottom w:val="0"/>
                  <w:divBdr>
                    <w:top w:val="none" w:sz="0" w:space="0" w:color="auto"/>
                    <w:left w:val="none" w:sz="0" w:space="0" w:color="auto"/>
                    <w:bottom w:val="none" w:sz="0" w:space="0" w:color="auto"/>
                    <w:right w:val="none" w:sz="0" w:space="0" w:color="auto"/>
                  </w:divBdr>
                  <w:divsChild>
                    <w:div w:id="1288312863">
                      <w:marLeft w:val="0"/>
                      <w:marRight w:val="0"/>
                      <w:marTop w:val="45"/>
                      <w:marBottom w:val="0"/>
                      <w:divBdr>
                        <w:top w:val="none" w:sz="0" w:space="0" w:color="auto"/>
                        <w:left w:val="none" w:sz="0" w:space="0" w:color="auto"/>
                        <w:bottom w:val="none" w:sz="0" w:space="0" w:color="auto"/>
                        <w:right w:val="none" w:sz="0" w:space="0" w:color="auto"/>
                      </w:divBdr>
                      <w:divsChild>
                        <w:div w:id="1341933622">
                          <w:marLeft w:val="0"/>
                          <w:marRight w:val="0"/>
                          <w:marTop w:val="0"/>
                          <w:marBottom w:val="0"/>
                          <w:divBdr>
                            <w:top w:val="none" w:sz="0" w:space="0" w:color="auto"/>
                            <w:left w:val="none" w:sz="0" w:space="0" w:color="auto"/>
                            <w:bottom w:val="none" w:sz="0" w:space="0" w:color="auto"/>
                            <w:right w:val="none" w:sz="0" w:space="0" w:color="auto"/>
                          </w:divBdr>
                          <w:divsChild>
                            <w:div w:id="696083675">
                              <w:marLeft w:val="2070"/>
                              <w:marRight w:val="3960"/>
                              <w:marTop w:val="0"/>
                              <w:marBottom w:val="0"/>
                              <w:divBdr>
                                <w:top w:val="none" w:sz="0" w:space="0" w:color="auto"/>
                                <w:left w:val="none" w:sz="0" w:space="0" w:color="auto"/>
                                <w:bottom w:val="none" w:sz="0" w:space="0" w:color="auto"/>
                                <w:right w:val="none" w:sz="0" w:space="0" w:color="auto"/>
                              </w:divBdr>
                              <w:divsChild>
                                <w:div w:id="952900454">
                                  <w:marLeft w:val="0"/>
                                  <w:marRight w:val="0"/>
                                  <w:marTop w:val="0"/>
                                  <w:marBottom w:val="0"/>
                                  <w:divBdr>
                                    <w:top w:val="none" w:sz="0" w:space="0" w:color="auto"/>
                                    <w:left w:val="none" w:sz="0" w:space="0" w:color="auto"/>
                                    <w:bottom w:val="none" w:sz="0" w:space="0" w:color="auto"/>
                                    <w:right w:val="none" w:sz="0" w:space="0" w:color="auto"/>
                                  </w:divBdr>
                                  <w:divsChild>
                                    <w:div w:id="2104572346">
                                      <w:marLeft w:val="0"/>
                                      <w:marRight w:val="0"/>
                                      <w:marTop w:val="0"/>
                                      <w:marBottom w:val="0"/>
                                      <w:divBdr>
                                        <w:top w:val="none" w:sz="0" w:space="0" w:color="auto"/>
                                        <w:left w:val="none" w:sz="0" w:space="0" w:color="auto"/>
                                        <w:bottom w:val="none" w:sz="0" w:space="0" w:color="auto"/>
                                        <w:right w:val="none" w:sz="0" w:space="0" w:color="auto"/>
                                      </w:divBdr>
                                      <w:divsChild>
                                        <w:div w:id="1484850850">
                                          <w:marLeft w:val="0"/>
                                          <w:marRight w:val="0"/>
                                          <w:marTop w:val="0"/>
                                          <w:marBottom w:val="0"/>
                                          <w:divBdr>
                                            <w:top w:val="none" w:sz="0" w:space="0" w:color="auto"/>
                                            <w:left w:val="none" w:sz="0" w:space="0" w:color="auto"/>
                                            <w:bottom w:val="none" w:sz="0" w:space="0" w:color="auto"/>
                                            <w:right w:val="none" w:sz="0" w:space="0" w:color="auto"/>
                                          </w:divBdr>
                                          <w:divsChild>
                                            <w:div w:id="1031809116">
                                              <w:marLeft w:val="0"/>
                                              <w:marRight w:val="0"/>
                                              <w:marTop w:val="90"/>
                                              <w:marBottom w:val="0"/>
                                              <w:divBdr>
                                                <w:top w:val="none" w:sz="0" w:space="0" w:color="auto"/>
                                                <w:left w:val="none" w:sz="0" w:space="0" w:color="auto"/>
                                                <w:bottom w:val="none" w:sz="0" w:space="0" w:color="auto"/>
                                                <w:right w:val="none" w:sz="0" w:space="0" w:color="auto"/>
                                              </w:divBdr>
                                              <w:divsChild>
                                                <w:div w:id="914318521">
                                                  <w:marLeft w:val="0"/>
                                                  <w:marRight w:val="0"/>
                                                  <w:marTop w:val="0"/>
                                                  <w:marBottom w:val="0"/>
                                                  <w:divBdr>
                                                    <w:top w:val="none" w:sz="0" w:space="0" w:color="auto"/>
                                                    <w:left w:val="none" w:sz="0" w:space="0" w:color="auto"/>
                                                    <w:bottom w:val="none" w:sz="0" w:space="0" w:color="auto"/>
                                                    <w:right w:val="none" w:sz="0" w:space="0" w:color="auto"/>
                                                  </w:divBdr>
                                                  <w:divsChild>
                                                    <w:div w:id="17318414">
                                                      <w:marLeft w:val="0"/>
                                                      <w:marRight w:val="0"/>
                                                      <w:marTop w:val="0"/>
                                                      <w:marBottom w:val="0"/>
                                                      <w:divBdr>
                                                        <w:top w:val="none" w:sz="0" w:space="0" w:color="auto"/>
                                                        <w:left w:val="none" w:sz="0" w:space="0" w:color="auto"/>
                                                        <w:bottom w:val="none" w:sz="0" w:space="0" w:color="auto"/>
                                                        <w:right w:val="none" w:sz="0" w:space="0" w:color="auto"/>
                                                      </w:divBdr>
                                                      <w:divsChild>
                                                        <w:div w:id="617219469">
                                                          <w:marLeft w:val="0"/>
                                                          <w:marRight w:val="0"/>
                                                          <w:marTop w:val="0"/>
                                                          <w:marBottom w:val="390"/>
                                                          <w:divBdr>
                                                            <w:top w:val="none" w:sz="0" w:space="0" w:color="auto"/>
                                                            <w:left w:val="none" w:sz="0" w:space="0" w:color="auto"/>
                                                            <w:bottom w:val="none" w:sz="0" w:space="0" w:color="auto"/>
                                                            <w:right w:val="none" w:sz="0" w:space="0" w:color="auto"/>
                                                          </w:divBdr>
                                                          <w:divsChild>
                                                            <w:div w:id="811366496">
                                                              <w:marLeft w:val="0"/>
                                                              <w:marRight w:val="0"/>
                                                              <w:marTop w:val="0"/>
                                                              <w:marBottom w:val="0"/>
                                                              <w:divBdr>
                                                                <w:top w:val="none" w:sz="0" w:space="0" w:color="auto"/>
                                                                <w:left w:val="none" w:sz="0" w:space="0" w:color="auto"/>
                                                                <w:bottom w:val="none" w:sz="0" w:space="0" w:color="auto"/>
                                                                <w:right w:val="none" w:sz="0" w:space="0" w:color="auto"/>
                                                              </w:divBdr>
                                                              <w:divsChild>
                                                                <w:div w:id="1760447244">
                                                                  <w:marLeft w:val="0"/>
                                                                  <w:marRight w:val="0"/>
                                                                  <w:marTop w:val="0"/>
                                                                  <w:marBottom w:val="0"/>
                                                                  <w:divBdr>
                                                                    <w:top w:val="none" w:sz="0" w:space="0" w:color="auto"/>
                                                                    <w:left w:val="none" w:sz="0" w:space="0" w:color="auto"/>
                                                                    <w:bottom w:val="none" w:sz="0" w:space="0" w:color="auto"/>
                                                                    <w:right w:val="none" w:sz="0" w:space="0" w:color="auto"/>
                                                                  </w:divBdr>
                                                                  <w:divsChild>
                                                                    <w:div w:id="2097088021">
                                                                      <w:marLeft w:val="0"/>
                                                                      <w:marRight w:val="0"/>
                                                                      <w:marTop w:val="0"/>
                                                                      <w:marBottom w:val="0"/>
                                                                      <w:divBdr>
                                                                        <w:top w:val="none" w:sz="0" w:space="0" w:color="auto"/>
                                                                        <w:left w:val="none" w:sz="0" w:space="0" w:color="auto"/>
                                                                        <w:bottom w:val="none" w:sz="0" w:space="0" w:color="auto"/>
                                                                        <w:right w:val="none" w:sz="0" w:space="0" w:color="auto"/>
                                                                      </w:divBdr>
                                                                      <w:divsChild>
                                                                        <w:div w:id="1111364469">
                                                                          <w:marLeft w:val="0"/>
                                                                          <w:marRight w:val="0"/>
                                                                          <w:marTop w:val="0"/>
                                                                          <w:marBottom w:val="0"/>
                                                                          <w:divBdr>
                                                                            <w:top w:val="none" w:sz="0" w:space="0" w:color="auto"/>
                                                                            <w:left w:val="none" w:sz="0" w:space="0" w:color="auto"/>
                                                                            <w:bottom w:val="none" w:sz="0" w:space="0" w:color="auto"/>
                                                                            <w:right w:val="none" w:sz="0" w:space="0" w:color="auto"/>
                                                                          </w:divBdr>
                                                                          <w:divsChild>
                                                                            <w:div w:id="2029284078">
                                                                              <w:marLeft w:val="0"/>
                                                                              <w:marRight w:val="0"/>
                                                                              <w:marTop w:val="0"/>
                                                                              <w:marBottom w:val="0"/>
                                                                              <w:divBdr>
                                                                                <w:top w:val="none" w:sz="0" w:space="0" w:color="auto"/>
                                                                                <w:left w:val="none" w:sz="0" w:space="0" w:color="auto"/>
                                                                                <w:bottom w:val="none" w:sz="0" w:space="0" w:color="auto"/>
                                                                                <w:right w:val="none" w:sz="0" w:space="0" w:color="auto"/>
                                                                              </w:divBdr>
                                                                              <w:divsChild>
                                                                                <w:div w:id="1622757828">
                                                                                  <w:marLeft w:val="0"/>
                                                                                  <w:marRight w:val="0"/>
                                                                                  <w:marTop w:val="0"/>
                                                                                  <w:marBottom w:val="0"/>
                                                                                  <w:divBdr>
                                                                                    <w:top w:val="none" w:sz="0" w:space="0" w:color="auto"/>
                                                                                    <w:left w:val="none" w:sz="0" w:space="0" w:color="auto"/>
                                                                                    <w:bottom w:val="none" w:sz="0" w:space="0" w:color="auto"/>
                                                                                    <w:right w:val="none" w:sz="0" w:space="0" w:color="auto"/>
                                                                                  </w:divBdr>
                                                                                  <w:divsChild>
                                                                                    <w:div w:id="777337048">
                                                                                      <w:marLeft w:val="0"/>
                                                                                      <w:marRight w:val="0"/>
                                                                                      <w:marTop w:val="0"/>
                                                                                      <w:marBottom w:val="0"/>
                                                                                      <w:divBdr>
                                                                                        <w:top w:val="none" w:sz="0" w:space="0" w:color="auto"/>
                                                                                        <w:left w:val="none" w:sz="0" w:space="0" w:color="auto"/>
                                                                                        <w:bottom w:val="none" w:sz="0" w:space="0" w:color="auto"/>
                                                                                        <w:right w:val="none" w:sz="0" w:space="0" w:color="auto"/>
                                                                                      </w:divBdr>
                                                                                      <w:divsChild>
                                                                                        <w:div w:id="18590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isa.somers\AppData\Local\Microsoft\Windows\INetCache\Content.Outlook\J85UOHOP\This%20email%20contains%20a%20link%20which%20is%20disabled%20by%20our%20emailing%20system%20for%20additional%20security%20preventive%20countermeasure" TargetMode="External"/><Relationship Id="rId3" Type="http://schemas.openxmlformats.org/officeDocument/2006/relationships/settings" Target="settings.xml"/><Relationship Id="rId7" Type="http://schemas.openxmlformats.org/officeDocument/2006/relationships/hyperlink" Target="file:///C:\Users\lisa.somers\AppData\Local\Microsoft\Windows\INetCache\Content.Outlook\J85UOHOP\This%20email%20contains%20a%20link%20which%20is%20disabled%20by%20our%20emailing%20system%20for%20additional%20security%20preventive%20countermeasu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lisa.somers\AppData\Local\Microsoft\Windows\INetCache\Content.Outlook\J85UOHOP\This%20email%20contains%20a%20link%20which%20is%20disabled%20by%20our%20emailing%20system%20for%20additional%20security%20preventive%20countermeasur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gov.services@adgm.com" TargetMode="External"/><Relationship Id="rId4" Type="http://schemas.openxmlformats.org/officeDocument/2006/relationships/webSettings" Target="webSettings.xml"/><Relationship Id="rId9" Type="http://schemas.openxmlformats.org/officeDocument/2006/relationships/hyperlink" Target="file:///C:\Users\lisa.somers\AppData\Local\Microsoft\Windows\INetCache\Content.Outlook\J85UOHOP\This%20email%20contains%20a%20link%20which%20is%20disabled%20by%20our%20emailing%20system%20for%20additional%20security%20preventive%20countermeas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488</Words>
  <Characters>2787</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Mohammed</dc:creator>
  <cp:keywords/>
  <dc:description/>
  <cp:lastModifiedBy>Noorul Ameen</cp:lastModifiedBy>
  <cp:revision>2</cp:revision>
  <cp:lastPrinted>2017-07-16T08:58:00Z</cp:lastPrinted>
  <dcterms:created xsi:type="dcterms:W3CDTF">2019-03-07T09:17:00Z</dcterms:created>
  <dcterms:modified xsi:type="dcterms:W3CDTF">2019-03-07T09:17:00Z</dcterms:modified>
</cp:coreProperties>
</file>