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1.31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(v1.31): Adds Section 19, the Catalog Category Standard, at the publisher’s direction (2026-10-01). Every study has exactly one primary catalog category among five (Foundations, Israel &amp; Prophecy, Body of Christ, Passages, Doctrinal Themes), assigned by the rules, the ordered decision procedure and the precedents in the new section, and each category has a fixed cover label. The 71 current assignments are final. Locked Status and Version History are renumbered to Sections 20 and 21 and updated. Stage 1, Stage 7 and the Cover Production Method now point to Section 19. Section 1 adds the Rule-Sync Rule: every rule goes in both CLAUDE.md and this Master Standard. All other sections carry forward unchanged from v1.30.</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Use the shortest accurate category form, such as “DOCTRINE,”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(numbered subsections) — 10 pt space-before, 5 pt space-after.</w:t>
      </w:r>
    </w:p>
    <w:p>
      <w:pPr/>
      <w:r>
        <w:t>These figures supersede any prior unstated default and are binding for Study 50 forward, and for any earlier study whose interior is reopened for revision.</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names the category in its short form: Foundations = RIGHT DIVISION; Israel &amp; Prophecy = PROPHECY; Body of Christ = BODY OF CHRIST; Passages = PASSAGES; Doctrinal Themes = DOCTRINE. Covers that use the full two-line form (Studies 60–71) use the matching full wording (Doctrinal Themes = BIBLICAL DOCTRINE). When a study changes category, its cover label is re-lettered in the cover’s own style (same position, size, colour and tracking) and the website jpg, webp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t>20. Locked Status</w:t>
      </w:r>
    </w:p>
    <w:p>
      <w:pPr/>
      <w:r>
        <w:rPr>
          <w:b/>
        </w:rPr>
        <w:t>STATUS: APPROVED AND LOCKED — DIGITAL STUDIES MASTER STANDARD v1.31</w:t>
      </w:r>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21. Version History</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