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1.173 — Approved and Locked</w:t>
      </w:r>
    </w:p>
    <w:p w14:paraId="1BE1BA43" w14:textId="77777777" w:rsidR="009D4E88" w:rsidRDefault="00CF123C">
      <w:pPr>
        <w:jc w:val="center"/>
      </w:pPr>
      <w:r>
        <w:t>Revision note (v1.173): Master Standard v1.173 (publisher directive, 2026-10-25): amends §20 Rule 37 with clause (10), the evidence-first synthesis rule for every Digital Study Conclusion (answer the title directly in text-controlled language; move from explicit observations to a synthesis identified as synthesis; include only what answers the governing question; state negative findings only as textual boundaries; handle disputed passages proportionately; end with a controlled “Taken together, these passages…” synthesis), with the required pattern, nine tests and governing principle. It applies automatically whenever an existing Digital Study is rebuilt or its Conclusion is revised. Rule 10 is unchanged. Recorded in CLAUDE.md in the same pass.</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r>
        <w:rPr/>
        <w:t>(10) Evidence-first synthesis (publisher directive, 2026-10-25, v1.173; this applies automatically whenever an existing Digital Study is rebuilt or its Conclusion is revised, and to every new study): the Conclusion reports what the textual examination established, in this order. (a) Answer the study title directly: the first sentence states the principal finding in text-controlled language, no broader than the evidence in the body, and opens with a formulation such as “The passages examined identify…”, “The text presents…”, “Paul states…” or “Taken in their stated settings…”, never “This study has shown…”, “We have seen…”, “This proves…”, “Therefore our position is…” or a doctrinal-system formulation the cited passages do not state. (b) Move from explicit observations to synthesis: passage A says X, passage B identifies Y, Paul states Q; taken together, these passages reveal R. Never the reverse (the conclusion is R, therefore the passages prove R); the Digital Studies are observational, not apologetic. (c) Distinguish explicit statements from synthesis: a synthesized conclusion is introduced as synthesis (“Taken together, these passages…”, “The passages examined present…”) and is never written as though one verse states it; “Paul says…” is used only where Paul says the stated proposition. (d) Prefer text-controlled wording to system-controlled wording (for example “Daniel 9:24 places the seventy weeks upon Daniel’s people and holy city” over “The Tribulation belongs to the Prophecy Program”); the synthesis may follow once the evidence producing it has been stated. (e) Do not insert secondary doctrines merely because they are true or important: include only what is necessary to answer the study’s governing question, leave adequately established distinctions in the body, and do not compress the removed Study Summary and Final Synthesis into the Conclusion. (f) State negative findings only as textual boundaries, only where the absence materially affects the answer (“The passage does not state…”, “The Body is not named in these passages”, “No fulfillment language appears in the passage”), never converting silence into an unsupported assertion and never writing “This proves that…”, “This makes the opposing interpretation impossible…”, “Therefore it cannot mean…” or “Any other interpretation goes beyond Scripture…”. (g) Handle a genuinely disputed passage explicitly and proportionately: acknowledge the dispute briefly, state whether the conclusion depends upon resolving it (for example “The interpretation of this expression remains disputed, and the conclusion above does not depend upon resolving it.”), and where clearer passages establish the finding build the Conclusion from those. (h) The final sentence is the controlled synthesis: it answers what these passages collectively reveal about the study’s question, preferably begins “Taken together, these passages…”, synthesizes only evidence already established, introduces no new doctrine, remains text-centered, is decisive without being apologetic, and ends positively with what the passages reveal.</w:t>
      </w:r>
    </w:p>
    <w:p>
      <w:pPr/>
      <w:r>
        <w:rPr/>
        <w:t>Required pattern and tests (v1.173). Sentence 1: direct finding in the most text-controlled language; sentences 2–5 or as needed: decisive evidence; next, if necessary: an important boundary; next, if necessary: a disputed issue; final sentence: controlled synthesis. Before finalizing, every Conclusion is tested: (1) Title: does it directly answer the study title? (2) Evidence: can every substantive statement be traced to evidence already examined in the body? (3) Attribution: is what an individual passage explicitly says distinguished from what several passages collectively indicate? (4) Objectivity: is it reporting what the examination revealed, or defending a theological system (if the latter, rewrite)? (5) Scope: does it include only findings necessary to answer the governing question (a point that is important but secondary stays in the body)? (6) Silence: are textual absences stated as observations and not as proof? (7) Disputed texts: does the conclusion depend unnecessarily upon a disputed interpretation when clearer passages establish the finding (if so, restructure)? (8) Final sentence: does it synthesize evidence already presented and introduce no new claim? (9) Stand-alone readability: could a reader read only the Conclusion, understand what the examination revealed, then return to the body and verify every major statement? Governing principle: Digital Study Conclusions move from textual observation to synthesis, never from theological synthesis backward to proof texts; explicit statements are reported as explicit statements and synthesized conclusions are identified as synthesis; the Conclusion answers the study’s governing question with the minimum number of findings necessary to answer it plainly and completely, and does not attempt to preserve every important point made in the body. In every study check (Step 1), report whether the Conclusion follows this pattern. This amends Rule 37 and does not change its scope (Digital Studies, Mode 1); Rule 10 still reads “Rules 1–9, 11–28, 30, 32, 33, 34 and 37”.</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v1.173 — Master Standard v1.173 (publisher directive, 2026-10-25): amends §20 Rule 37 with clause (10) and the “Required pattern and tests” paragraph (evidence-first synthesis for every Digital Study Conclusion, applied automatically whenever a study is rebuilt or its Conclusion revised). No other section changed. CLAUDE.md updated in the same pass.</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