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1.159 — Approved and Locked</w:t>
      </w:r>
    </w:p>
    <w:p w14:paraId="1BE1BA43" w14:textId="77777777" w:rsidR="009D4E88" w:rsidRDefault="00CF123C">
      <w:pPr>
        <w:jc w:val="center"/>
      </w:pPr>
      <w:r>
        <w:t>Revision note (v1.159): Master Standard v1.159 (publisher directive, 2026-10-15): adds The Prophets Series to Section 20, Rule 29, as the ninth commentary series, written into CLAUDE.md, this Standard and the series Standard (Prophets_Series_Standard_v1.2.md) in the same pass. Four volumes in Mode 2, the fourth conditional (How the Prophets Spoke; What the Prophets Condemned; The Nations Judged; Elijah Must First Come), chosen after a Fit Check Map run and a Volume 4 outline test; Daniel’s Kingdoms was dropped for overlap. Publisher rulings: the four-volume series with Volume 4 conditional; the name The Prophets Series; the pricing (series bundle $43.99; 44-volume Library $409.99; the three-volume fallback bundle $34.99 with the Library re-ruled). Rules 7, 11 and 13–19 bind, with Rule 32; Rules 8, 12, 20–28 and 30 do not. Order of the volumes, Rule 33 in Volume 4 and the position in Volume 4 chapter 11 remain open. The Fit Check Map is updated to v1.1 in the same pass.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take effect on the Commentary Collection page when the series is complete, and until then the page keeps its current count and price ($364.99 for the 40 volumes in eight series). If Volume 4 is dropped, the bundle of three volumes is $34.99 (individually $44.97; save $9.98) and the Library figure is re-ruled by the publisher.</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