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1.174 — Approved and Locked</w:t>
      </w:r>
    </w:p>
    <w:p w14:paraId="1BE1BA43" w14:textId="77777777" w:rsidR="009D4E88" w:rsidRDefault="00CF123C">
      <w:pPr>
        <w:jc w:val="center"/>
      </w:pPr>
      <w:r>
        <w:t>Revision note (v1.174):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14:paraId="1BE1BA43" w14:textId="77777777" w:rsidR="009D4E88" w:rsidRDefault="00CF123C">
      <w:pPr>
        <w:jc w:val="center"/>
      </w:pPr>
      <w:r>
        <w:t>Revision note (v1.173): Master Standard v1.173 (publisher directive, 2026-10-25): amends §20 Rule 37 with clause (10), the evidence-first synthesis rule for every Digital Study Conclusion (answer the title directly in text-controlled language; move from explicit observations to a synthesis identified as synthesis; include only what answers the governing question; state negative findings only as textual boundaries; handle disputed passages proportionately; end with a controlled “Taken together, these passages…” synthesis), with the required pattern, nine tests and governing principle. It applies automatically whenever an existing Digital Study is rebuilt or its Conclusion is revised. Rule 10 is unchanged. Recorded in CLAUDE.md in the same pass.</w:t>
      </w:r>
    </w:p>
    <w:p w14:paraId="1BE1BA43" w14:textId="77777777" w:rsidR="009D4E88" w:rsidRDefault="00CF123C">
      <w:pPr>
        <w:jc w:val="center"/>
      </w:pPr>
      <w:r>
        <w:t>Revision note (v1.172): Master Standard v1.172 (publisher directive, 2026-10-25): adds §20 Rule 37 (Conclusion Section Standard) and amends §§3, 6, 7 and 10 and Rule 34 to match. Beginning with Study 88 and for every Digital Study built or rebuilt from now on, the Conclusion is the single concluding statement of the study’s findings: one concise integrated prose paragraph (about five to eight sentences) that answers “What did the examination of this passage plainly reveal?”, begins with the passage’s central finding, states the audience only as the text establishes it, distinguishes quotation from instruction, states textual boundaries observationally, ends with the passage’s positive meaning, and is not an apologetic argument. The Study Summary and the Final Synthesis are removed from the required sequence (Section 3 now runs to 14 items). First applied to Study 88. Written into CLAUDE.md (v1.172) in the same pass. Digital Studies content rules are otherwise unaffected.</w:t>
      </w:r>
    </w:p>
    <w:p w14:paraId="1BE1BA43" w14:textId="77777777" w:rsidR="009D4E88" w:rsidRDefault="00CF123C">
      <w:pPr>
        <w:jc w:val="center"/>
      </w:pPr>
      <w:r>
        <w:t>Revision note (v1.171):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14:paraId="1BE1BA43" w14:textId="77777777" w:rsidR="009D4E88" w:rsidRDefault="00CF123C">
      <w:pPr>
        <w:jc w:val="center"/>
      </w:pPr>
      <w:r>
        <w:t>Revision note (v1.170): Master Standard v1.170 (publisher directive, 2026-10-18): adds §20 Rule 36, requiring a Selected Bibliography at the end of every book in the Acts Overlap Theology Series (Books 1 to 5), defined as a record of works consulted and not a claim of dependence, agreement, alignment or citation. The Book 1 section is drafted for the manuscript. Written into CLAUDE.md (v1.170) in the same pass; the Framework needs no change, because the rule governs the books’ back matter and no doctrine. Digital Studies content rules are unaffected.</w:t>
      </w:r>
    </w:p>
    <w:p w14:paraId="1BE1BA43" w14:textId="77777777" w:rsidR="009D4E88" w:rsidRDefault="00CF123C">
      <w:pPr>
        <w:jc w:val="center"/>
      </w:pPr>
      <w:r>
        <w:t>Revision note (v1.169): Master Standard v1.169 (publisher directive, 2026-10-17): sets the title and subtitle of Sign Gifts Series Volume 1 to “The Sign Gifts: What Were Signs For, To Whom, and What Ended at Acts 28?” (replacing the provisional “The Sign Program”), keeps the series name The Sign Gifts Series, and records four Volume 1 rulings in §20 Rule 29: Acts 28:8–9 reported as the last recorded sign, Mark 16:20 read as written with the textual question left to Study 25, John 20:30–31 reported as John’s stated purpose, and Hebrews 2:3–4 read as written to the Hebrew readers. Written into CLAUDE.md (v1.169), the Framework (§XX), the series Standard (now Sign_Gifts_Series_Standard_v1.2.md) and the Fit Check Map (v1.11) in the same pass. No new rule number. Digital Studies content rules are unaffected.</w:t>
      </w:r>
    </w:p>
    <w:p w14:paraId="1BE1BA43" w14:textId="77777777" w:rsidR="009D4E88" w:rsidRDefault="00CF123C">
      <w:pPr>
        <w:jc w:val="center"/>
      </w:pPr>
      <w:r>
        <w:t>Revision note (v1.168): Master Standard v1.168 (publisher directive, 2026-10-17): adds the Sign Gifts Series to §20 Rule 29 as the tenth commentary series — four Mode 2 volumes on the sign gifts (The Sign Program; Tongues and Prophecy; Healing in the Body; Apostles and Prophets), Volume 4 conditional on a 50-page outline test — with the publisher’s rulings: Volume 2 reports 1 Corinthians 13:8–10 as written and leaves “that which is perfect” unidentified, arguing from 1 Corinthians 14:21–22 and the Acts 28 suspension; Volume 4 carries Rule 33’s sentence once at 2 Corinthians 12:12. Footer, cover line, price, binding rules and pricing are recorded in Rule 29 (the series bundle $43.99 and the 48-volume Library $454.99 take effect when the series is complete). Written into CLAUDE.md (v1.168), the Framework (§XX), the series Standard Sign_Gifts_Series_Standard_v1.1.md and the Fit Check Map (v1.10) in the same pass. No new rule number. Digital Studies content rules are unaffected.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Key Distinctions to Retain</w:t>
      </w:r>
    </w:p>
    <w:p>
      <w:pPr>
        <w:spacing w:after="60"/>
        <w:ind w:left="259"/>
      </w:pPr>
      <w:r>
        <w:t>11. Scripture-Tracing Exercise</w:t>
      </w:r>
    </w:p>
    <w:p>
      <w:pPr>
        <w:spacing w:after="60"/>
        <w:ind w:left="259"/>
      </w:pPr>
      <w:r>
        <w:t>12. Review and Discussion Questions</w:t>
      </w:r>
    </w:p>
    <w:p>
      <w:pPr>
        <w:spacing w:after="60"/>
        <w:ind w:left="259"/>
      </w:pPr>
      <w:r>
        <w:t>13. Teaching Outline</w:t>
      </w:r>
    </w:p>
    <w:p>
      <w:pPr>
        <w:spacing w:after="60"/>
        <w:ind w:left="259"/>
      </w:pPr>
      <w:r>
        <w:t>14. Guided Further Study</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Key Distinctions to Retain; Scripture-Tracing Exercise; Review and Discussion Questions; Teaching Outline (Roman numerals with A–C items); Guided Further Study (groups of passages, each with Observe, Compare and Conclude); and the single end imprint. The imprint never stands alone on a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 The single concluding statement of the study’s findings. It answers one question — what did the examination of this passage plainly reveal? — in one concise prose paragraph of about five to eight sentences (Section 20, Rule 37). There is no separate Study Summary or Final Synthesis.</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the last section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Key Distinctions to Retain, Teaching Outline, and (in studies built before v1.172) a Study Summary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34 and 37.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The Sign Gifts Series (publisher directive, 2026-10-17). A tenth commentary series is created, The Sign Gifts Series: four volumes written in Mode 2, each built around one narrower question on the sign gifts, in this order (titles provisional; each volume’s title, subtitle, thesis, outline and rulings are approved one volume at a time): (1) The Sign Gifts (subtitle: What Were Signs For, To Whom, and What Ended at Acts 28?); (2) Tongues and Prophecy; (3) Healing in the Body; (4) Apostles and Prophets. Volume 4 is conditional: if its realistic page count including the cover is under 50 pages at the outline stage, it is dropped and the series is three volumes. A fifth volume was tested and failed the no-padding test, because Prophets Volume 1, Prophetic Commentary Volume 2, Study 74 and Gospel Volume 3 already treat its passages. Rule 33, as amended in v1.167, governs the series: the expanded text “Healing and Tongues Today” binds Mode 2 and Mode 3, and Rule 11’s boundary stands, so no volume assigns Paul’s signs in Acts 9–28 to Israel’s program. Publisher rulings, 2026-10-17: Volume 2 reports 1 Corinthians 13:8–10 exactly as written and leaves “that which is perfect” unidentified, and argues the tongues ruling from 1 Corinthians 14:21–22 and its Isaiah 28 quotation and from the Acts 28 suspension; Volume 4 states Rule 33’s standing sentence once, in the chapter on 2 Corinthians 12:12, because the apostolic office and the sign program end together; James 5 is read in its Israel setting (James 1:1). The volume footer reads “ZAY-MARIE PRESS THE SIGN GIFTS SERIES, VOLUME V • N” (V is the volume number within the series, N the page number), and the cover carries “VOLUME V” at the upper right and “THE SIGN GIFTS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tenth series (anchor #sign-gifts) outside the Digital Studies catalog, bundles and Library Edition, with volume pages commentary-sign-gifts-0N-&lt;slug&gt;.html and no separate series page. A volume opens with a plain statement that it argues a position and is written in the plain voice of Rule 34. Rules 7, 11 and 13–19 bind the series, with Rule 32; Rules 8, 12, 20–28 and 30 do not. Series Standard: controlling-documents/Sign_Gifts_Series_Standard_v1.1.md. Digital Studies are unaffected. Volume 1 rulings, 2026-10-17: Acts 28:8–9 is reported as the last recorded sign and the volume states that the record of signs ends in that chapter, the suspension itself being argued in Acts Volume 5; Mark 16:20 is read as written and the textual question of Mark 16:9–20 is left to Study 25; John 20:30–31 is reported as John’s stated purpose for his signs and not read as a statement on all signs; Hebrews 2:3–4 is read as written to the Hebrew readers and not carried to the Body. Mark 16, the Spirit scenes in Acts, 1 Corinthians 14:22, Romans 15:18–19 and the Acts 28 suspension are cited as neighbours and not re-argued.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 The Sign Gifts Series pricing (publisher directive, 2026-10-17): each volume $14.99; the series bundle of four volumes is $43.99 (individually $59.96; save $15.97); the Complete Commentary Library of all 48 volumes in ten series follows the +$45.00 per added series pattern at $454.99 (individually $719.52; save $264.53, about 37%, and $72.91 less than buying the ten series bundles separately). Both figures take effect on the Commentary Collection page when the series is complete, and until then the page keeps its current count and price. If Volume 4 is dropped, the three-volume bundle is $34.99 and the Library figure is re-ruled.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 Amended v1.172 (publisher directive, 2026-10-25): Rule 37 replaces the form this rule gave the Conclusion and withdraws this rule’s Study Summary and Final Synthesis provisions for every study built from now on; the plain-voice wording below stays in force for Key Distinctions to Retain and the closing line of any section that tests readings.</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14:paraId="31BC0D84" w14:textId="77777777" w:rsidR="00B61C01" w:rsidRDefault="0049255F">
      <w:pPr>
        <w:pStyle w:val="Heading2"/>
      </w:pPr>
      <w:r>
        <w:rPr/>
        <w:t>Rule 36 — Selected Bibliography in the Acts Overlap Theology Series books (2026-10-18)</w:t>
      </w:r>
    </w:p>
    <w:p>
      <w:pPr/>
      <w:r>
        <w:rPr/>
        <w:t>Selected Bibliography in the Acts Overlap Theology Series books (publisher directive, 2026-10-18). Every book in the Acts Overlap Theology Series (Books 1 to 5) ends with a “Selected Bibliography” after its last appendix. (1) What it is: a record of works consulted in preparing the book, not a list of works quoted. Listing a work does not claim dependence on it, agreement with it, doctrinal alignment with it or direct citation of it; the opening paragraph of the section says so in reader-facing words. (2) What it holds, in this order where the book has them: Bible translations; biblical reference works; historical and theological background works, grouped by subject; the New Testament’s use of the Old Testament; general biblical studies. Book 1 (The Full Framework) is the model for the form and the intro paragraph. (3) Entries: author, title, publisher, with place, year and edition added at the final check; alphabetical by author within each group; only works the publisher confirms were consulted are listed, and Claude does not add a work on its own. (4) The Bible translation entries match the translation or translations the book actually quotes (Book 1 quotes the New Living Translation). (5) The reader-facing wording rule (Rule 14) applies to every word; the section names no internal working term. (6) Each book’s Table of Contents, series preface, page count and, once published, the website page count, structured data and edition details follow the section’s pages in the same pass. (7) Scope: this rule binds the five books only. The Digital Studies, the commentary series (which carry their own bibliographies under Rule 29), the Readers Question volumes, the Parable Studies and the Bible Book Companions are unaffected, and Rule 10 does not change. Status: the Book 1 section is drafted as a three-page insert in the book’s page format (`Selected_Bibliography_Insert_Full_Framework`); it enters the manuscript when the publisher supplies the manuscript file and confirms the entries, and Books 2 to 5 carry the section from their first drafts.</w:t>
      </w:r>
    </w:p>
    <w:p w14:paraId="31BC0D84" w14:textId="77777777" w:rsidR="00B61C01" w:rsidRDefault="0049255F">
      <w:pPr>
        <w:pStyle w:val="Heading2"/>
      </w:pPr>
      <w:r>
        <w:rPr/>
        <w:t>Rule 37 — Conclusion Section Standard (2026-10-25)</w:t>
      </w:r>
    </w:p>
    <w:p>
      <w:pPr/>
      <w:r>
        <w:rPr/>
        <w:t>Conclusion Section Standard (publisher directive, 2026-10-25). Beginning with Study 88 and for every Digital Study built or rebuilt from now on, the Conclusion is the single concluding statement of the study’s findings. There is no separate Study Summary and no Final Synthesis. (1) Purpose: the Conclusion answers one question: What did the examination of this passage plainly reveal? It is not an apologetic argument, a doctrinal defense or a restatement of a predetermined theological thesis. The study begins with the biblical text and examines its audience, setting, wording, context, citations, commands, promises and applications; the Conclusion comes afterward and states plainly what that examination revealed. (2) Form: one concise, integrated prose paragraph, normally about five to eight sentences depending on the complexity of the passage. It (a) states the passage’s central finding immediately, and never opens with “In this study we examined…” or a review of procedure; (b) states the primary command, teaching, event or doctrinal content of the passage as a whole; (c) identifies the audience when audience affects interpretation (Israel, the Twelve, a particular assembly, the Body of Christ, unbelievers or another audience), only as the text establishes it; (d) incorporates only the decisive contextual findings and does not re-list every observation; (e) where the passage quotes earlier Scripture, distinguishes what the earlier text originally says from what the present writer says or applies; (f) states textual boundaries observationally where they materially affect interpretation (“The passage does not mention…”, “The text does not state…”, “Paul does not identify…”, “No fulfillment language appears…”), and avoids argumentative formulations (“This proves…”, “Therefore this interpretation is impossible…”, “Any other reading is wrong…”, “This conclusively refutes…”); and (g) ends with the passage’s positive meaning, the clearest statement of what the passage communicates, and not primarily with what it does not say. (3) Tone: text-centered, observational, context-controlled, plainly stated, doctrinally precise, non-apologetic and free from polemical language. The Conclusion may be decisive: objectivity does not require vagueness, and where the examination clearly establishes something it is stated plainly; the conclusion arises from the evidence examined and is never a theological thesis imposed on the passage beforehand. (4) What it must not become: a summary of every section, a repeat of the study outline, a list of all observations already made, a defense of Acts Overlap Theology or any other system, a place to introduce new evidence or arguments, a claim beyond what the study established, a statement of what interpretation must be rejected unless the text itself establishes that boundary, or an assignment of another synthesis exercise. (5) Test before finalizing: could a reader understand what this passage plainly reveals by reading the Conclusion alone, while still being able to return to the body of the study and verify every major statement from the textual examination? If yes, the Conclusion is working. Governing rule: the study examines first and concludes afterward. (6) Structure: the study body examines the textual evidence; the Conclusion states what that examination revealed; Key Distinctions to Retain preserves the main distinctions in quick-reference form; the Scripture-Tracing Exercise, Review and Discussion Questions, Teaching Outline and Guided Further Study let the reader verify, retain, teach and further examine the findings; the single end imprint follows. Sections 3, 6, 7 and 10 are amended to match, and the Study Summary and Final Synthesis are removed from the required sequence. (7) Relationship to Rule 34: this rule replaces the form Rule 34 gave the Conclusion and withdraws Rule 34’s Study Summary and Final Synthesis provisions for every study built from now on; Rule 34’s plain-voice wording remains in force for Key Distinctions to Retain and for the closing line of any section that tests readings. The reader-facing wording rule (Rule 14) applies to every word. (8) Scope: Digital Studies (Mode 1). Earlier studies that carry a Study Summary and a Final Synthesis (Studies 1–87) keep them until they are reopened or the publisher directs; Studies 76 and 87, written under Rule 34, are likewise brought to this rule when reopened. The Parable Studies (Rule 35) are not changed by this rule unless the publisher directs. The page-length standard in Section 9 is unchanged. (9) Model: the Conclusion of Study 88 (2 Corinthians 6:14–7:1), as supplied by the publisher, is the model for form and tone. First applied to Study 88 (its Study Summary and Final Synthesis removed, the Table of Contents, preview image and What’s Included list updated; 16 pages with the cover, unchanged). Rule 10 now reads “Rules 1–9, 11–28, 30, 32, 33, 34 and 37”.</w:t>
      </w:r>
    </w:p>
    <w:p>
      <w:pPr/>
      <w:r>
        <w:rPr/>
        <w:t>(10) Evidence-first synthesis (publisher directive, 2026-10-25, v1.173; this applies automatically whenever an existing Digital Study is rebuilt or its Conclusion is revised, and to every new study): the Conclusion reports what the textual examination established, in this order. (a) Answer the study title directly: the first sentence states the principal finding in text-controlled language, no broader than the evidence in the body, and opens with a formulation such as “The passages examined identify…”, “The text presents…”, “Paul states…” or “Taken in their stated settings…”, never “This study has shown…”, “We have seen…”, “This proves…”, “Therefore our position is…” or a doctrinal-system formulation the cited passages do not state. (b) Move from explicit observations to synthesis: passage A says X, passage B identifies Y, Paul states Q; taken together, these passages reveal R. Never the reverse (the conclusion is R, therefore the passages prove R); the Digital Studies are observational, not apologetic. (c) Distinguish explicit statements from synthesis: a synthesized conclusion is introduced as synthesis (“Taken together, these passages…”, “The passages examined present…”) and is never written as though one verse states it; “Paul says…” is used only where Paul says the stated proposition. (d) Prefer text-controlled wording to system-controlled wording (for example “Daniel 9:24 places the seventy weeks upon Daniel’s people and holy city” over “The Tribulation belongs to the Prophecy Program”); the synthesis may follow once the evidence producing it has been stated. (e) Do not insert secondary doctrines merely because they are true or important: include only what is necessary to answer the study’s governing question, leave adequately established distinctions in the body, and do not compress the removed Study Summary and Final Synthesis into the Conclusion. (f) State negative findings only as textual boundaries, only where the absence materially affects the answer (“The passage does not state…”, “The Body is not named in these passages”, “No fulfillment language appears in the passage”), never converting silence into an unsupported assertion and never writing “This proves that…”, “This makes the opposing interpretation impossible…”, “Therefore it cannot mean…” or “Any other interpretation goes beyond Scripture…”. (g) Handle a genuinely disputed passage explicitly and proportionately: acknowledge the dispute briefly, state whether the conclusion depends upon resolving it (for example “The interpretation of this expression remains disputed, and the conclusion above does not depend upon resolving it.”), and where clearer passages establish the finding build the Conclusion from those. (h) The final sentence is the controlled synthesis: it answers what these passages collectively reveal about the study’s question, preferably begins “Taken together, these passages…”, synthesizes only evidence already established, introduces no new doctrine, remains text-centered, is decisive without being apologetic, and ends positively with what the passages reveal.</w:t>
      </w:r>
    </w:p>
    <w:p>
      <w:pPr/>
      <w:r>
        <w:rPr/>
        <w:t>Required pattern and tests (v1.173). Sentence 1: direct finding in the most text-controlled language; sentences 2–5 or as needed: decisive evidence; next, if necessary: an important boundary; next, if necessary: a disputed issue; final sentence: controlled synthesis. Before finalizing, every Conclusion is tested: (1) Title: does it directly answer the study title? (2) Evidence: can every substantive statement be traced to evidence already examined in the body? (3) Attribution: is what an individual passage explicitly says distinguished from what several passages collectively indicate? (4) Objectivity: is it reporting what the examination revealed, or defending a theological system (if the latter, rewrite)? (5) Scope: does it include only findings necessary to answer the governing question (a point that is important but secondary stays in the body)? (6) Silence: are textual absences stated as observations and not as proof? (7) Disputed texts: does the conclusion depend unnecessarily upon a disputed interpretation when clearer passages establish the finding (if so, restructure)? (8) Final sentence: does it synthesize evidence already presented and introduce no new claim? (9) Stand-alone readability: could a reader read only the Conclusion, understand what the examination revealed, then return to the body and verify every major statement? Governing principle: Digital Study Conclusions move from textual observation to synthesis, never from theological synthesis backward to proof texts; explicit statements are reported as explicit statements and synthesized conclusions are identified as synthesis; the Conclusion answers the study’s governing question with the minimum number of findings necessary to answer it plainly and completely, and does not attempt to preserve every important point made in the body. In every study check (Step 1), report whether the Conclusion follows this pattern. This amends Rule 37 and does not change its scope (Digital Studies, Mode 1); Rule 10 still reads “Rules 1–9, 11–28, 30, 32, 33, 34 and 37”.</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v1.174 —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pPr>
        <w:pStyle w:val="ListBullet"/>
      </w:pPr>
      <w:r>
        <w:t>v1.173 — Master Standard v1.173 (publisher directive, 2026-10-25): amends §20 Rule 37 with clause (10) and the “Required pattern and tests” paragraph (evidence-first synthesis for every Digital Study Conclusion, applied automatically whenever a study is rebuilt or its Conclusion revised). No other section changed. CLAUDE.md updated in the same pass.</w:t>
      </w:r>
    </w:p>
    <w:p>
      <w:pPr>
        <w:pStyle w:val="ListBullet"/>
      </w:pPr>
      <w:r>
        <w:t>v1.172 — Master Standard v1.172 (publisher directive, 2026-10-25): adds §20 Rule 37 (Conclusion Section Standard) and amends §3 (sequence now 14 items: the Study Summary and Final Synthesis are removed), §6 (structure line), §7 (required closing components), §10 (imprint wording) and Rule 34 (its Conclusion form and its Study Summary and Final Synthesis provisions are superseded for studies built from now on; its plain-voice wording stays for Key Distinctions and the closing lines of testing sections). Rule 10 now reads “Rules 1–9, 11–28, 30, 32, 33, 34 and 37”. First applied to Study 88 (Study Summary and Final Synthesis removed; Conclusion in the publisher’s supplied wording; Table of Contents, preview image and What’s Included list updated; 16 pages with the cover, unchanged). Earlier studies take the rule when reopened or when the publisher directs; Section 9 and the Parable Studies are unchanged. Recorded in CLAUDE.md as v1.172 in the same pass.</w:t>
      </w:r>
    </w:p>
    <w:p>
      <w:pPr>
        <w:pStyle w:val="ListBullet"/>
      </w:pPr>
      <w:r>
        <w:t>v1.171 —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pPr>
        <w:pStyle w:val="ListBullet"/>
      </w:pPr>
      <w:r>
        <w:t>v1.170 — Master Standard v1.170 (publisher directive, 2026-10-18): adds §20 Rule 36 (Selected Bibliography in the Acts Overlap Theology Series books). Every book, 1 to 5, ends with the section; it records works consulted and claims no dependence, agreement, alignment or citation; form, entry, translation-match, wording and scope settings recorded in Rule 36. Book 1’s section is drafted and awaits the manuscript file and the publisher’s confirmation of entries. Recorded in CLAUDE.md as v1.170 in the same pass. Digital Studies content rules are unaffected.</w:t>
      </w:r>
    </w:p>
    <w:p>
      <w:pPr>
        <w:pStyle w:val="ListBullet"/>
      </w:pPr>
      <w:r>
        <w:t>v1.169 — Master Standard v1.169 (publisher directive, 2026-10-17): Sign Gifts Series Volume 1 titled “The Sign Gifts” with the subtitle “What Were Signs For, To Whom, and What Ended at Acts 28?”; four Volume 1 rulings recorded in §20 Rule 29. Recorded in CLAUDE.md as v1.169, in the Framework, the series Standard v1.2 and the Fit Check Map v1.11 in the same pass. No new rule number. Digital Studies content rules are unaffected.</w:t>
      </w:r>
    </w:p>
    <w:p>
      <w:pPr>
        <w:pStyle w:val="ListBullet"/>
      </w:pPr>
      <w:r>
        <w:t>v1.168 — Master Standard v1.168 (publisher directive, 2026-10-17): adds the Sign Gifts Series (tenth commentary series, four Mode 2 volumes, Volume 4 conditional) to §20 Rule 29 with the Volume 2 (1 Corinthians 13:8–10 reported as written) and Volume 4 (Rule 33’s sentence at 2 Corinthians 12:12) rulings, the series pricing, and the series Standard. Recorded in CLAUDE.md as v1.168, in the Framework and in the Fit Check Map v1.10 in the same pass. No new rule number. Digital Studies content rules are unaffected.</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