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two fully authorized interpretive modes. Mode 1, Text-Governed Interpretation, governs the Digital Studies Series. Mode 2, Canonical Identity Synthesis, governs the Theological Commentary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(Theological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Non-conflict. Mode 2 does not invalidate Mode 1, and Mode 1 does not restrict Mode 2. They are two lanes of one framework.</w:t>
      </w:r>
    </w:p>
    <w:p>
      <w:pPr>
        <w:numPr>
          <w:ilvl w:val="0"/>
          <w:numId w:val="3"/>
        </w:numPr>
      </w:pPr>
      <w:r>
        <w:t>Which rules bind which mode. Rules 7, 11 and 13–19 of the Program Assignment Manual’s standing drafting rules bind both modes. Rule 8 and Rules 20–28 bind Mode 1 only. Rules 9 and 10 apply in both modes where a settled ruling is stated and where the review is made; Rule 12 binds Mode 1 only. The reader-facing wording rule (Rule 14) binds both modes.</w:t>
      </w:r>
    </w:p>
    <w:p>
      <w:pPr>
        <w:numPr>
          <w:ilvl w:val="0"/>
          <w:numId w:val="3"/>
        </w:numPr>
      </w:pPr>
      <w:r>
        <w:t>Program boundary rule (reaffirmed). Even in Mode 2: Prophecy is not Mystery; Israel is not the Body; program membership is permanent; inheritance distinctions remain absolute; the Body is absent from Revelation, Daniel’s seventieth week and the Day of the Lord; the Acts Overlap chronology is unchanged. Mode 2 widens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Theological Commentary Series is governed by controlling-documents/Theological_Commentary_Series_Standard_v1.0.md and Master Standard §20 Rule 29.</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