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1.43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(v1.43): Amends Section 20, Rule 14, at the publisher’s direction (2026-10-02): adds the reader-facing wording rule. “Firewall,” “Olive Tree Firewall” and similar control labels are internal drafting terms and never appear in study text, website copy or Doctrinal Packets; studies state the boundaries in plain language (for example “Four boundaries govern the reading:”), and any term a study has not itself introduced is treated the same way. Studies 9, 13, 35 and 36 were corrected on 2026-10-02. Written into the Framework Rule 14 in the same pass. All other sections carry forward unchanged from v1.42.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6 pt space-after, 0 pt space-before, 1.08 line spacing.</w:t>
      </w:r>
    </w:p>
    <w:p>
      <w:pPr>
        <w:pStyle w:val="ListBullet"/>
      </w:pPr>
      <w:r>
        <w:t>Heading 1 (numbered major sections) — 12 pt space-before, 8 pt space-after (12 pt space-before applies to studies built from Study 6 forward; Studies 1–5 and 9 were built at 14 pt and are not reopened for it).</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Studies 1–51 are not reopened or retrofitted for it and remain as published; an earlier study moves to it only if the publisher directs.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9 pt: body paragraphs, numbered subsection lines, lists, table body text, Table of Contents entries and the footer.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(six process-worded points);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anchoring sentence is used where the book is first treated: “The Framework does not assign [book] as a book; this reading rests on the letter’s own audience markers and setting.”</w:t>
      </w:r>
    </w:p>
    <w:p>
      <w:pPr/>
      <w:r>
        <w:rPr/>
        <w:t>Hebrews is read within Israel’s Prophecy line for covenant context, with the verbatim sentence: “The Framework does not assign Hebrews as a book; this reading rests on the letter’s own audience markers and on the Framework’s ruling that the New Covenant it quotes (Jeremiah 31:31–34)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11–17.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must include the anchoring sentence: “The Framework does not assign this book; this reading rests on the passage’s own audience markers and setting.” This extends Rule 8 to every unassigned book or passage that Rule 8 does not name. Rule 8’s own sentences for the books it names (including the verbatim Hebrews sentence) and the established 1 Peter and 1 John wording continue to apply where those books are treated. Using an unassigned text for a universal truth is not a program assignment of the book.</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“Firewall,” “Olive Tree Firewall” and similar control labels are internal drafting terms for Claude and are never used in study text, website copy or Doctrinal Packets. A study states the boundaries in plain language, for example “Four boundaries govern the reading:” (or “These boundaries govern the reading:”), followed by the boundaries themselves. Any term in a study that the study has not itself introduced and defined is treated the same way. The rule is applied when a study is reopened; Studies 9, 13, 35 and 36 were corrected on 2026-10-02.</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pPr>
        <w:pStyle w:val="Heading1"/>
      </w:pPr>
      <w:r>
        <w:t>21. Locked Status</w:t>
      </w:r>
    </w:p>
    <w:p>
      <w:pPr/>
      <w:r>
        <w:rPr>
          <w:b/>
        </w:rPr>
        <w:t>STATUS: APPROVED AND LOCKED — DIGITAL STUDIES MASTER STANDARD v1.43</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