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(v1.57): Adds Section 20, Rule 22 (the man of sin, the final-ruler passages and the antichrist texts), from the publisher’s rulings for Study 74.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pPr>
        <w:pStyle w:val="Heading1"/>
      </w:pPr>
      <w:r>
        <w:t>21. Locked Status</w:t>
      </w:r>
    </w:p>
    <w:p>
      <w:pPr/>
      <w:r>
        <w:rPr>
          <w:b/>
        </w:rPr>
        <w:t>STATUS: APPROVED AND LOCKED — DIGITAL STUDIES MASTER STANDARD v1.57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11–22”.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11–22”.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11–22”.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