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(v1.42): Amends Section 20, Rule 14, at the publisher’s direction (2026-10-02): adds the Romans 11 Strong Firewall as a standing rule governing every Romans 11 treatment in every study (the voice of Study 13 v2: the triad “Participation is not identity. Blessing is not covenant. Standing is not program membership.”, the four-point governing list, the “Salvation has come to the Gentiles” limit, the identity-transfer warning, and the concurrency close), with a depth requirement (full firewall where Romans 11 is treated at length; at least the four-point list and the triad in a passing citation). Written into the Framework Rule 14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v1.42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