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(v1.90): adds Mode 3 and the Reader Questions Series (Rule 31): one-verse answers argued from the pericope and the preceding chapters, with a free short-answer layer and paid volumes; Digital Studies stay Mode 1 and the Commentary Series Mode 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 Questions Series under Rule 31.</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 Questions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 Questions Series (2026-10-10)</w:t>
      </w:r>
    </w:p>
    <w:p>
      <w:pPr/>
      <w:r>
        <w:rPr/>
        <w:t>Three modes (publisher directive, 2026-10-10). The Framework authorizes a third interpretive mode alongside the two in Rule 29. Digital Studies are Mode 1 (text-governed); the Commentary Series are Mode 2 (canonical identity synthesis); the Reader Questions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and 13–19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outside the Digital Studies catalog, bundles and Library Edition. A volume holds about ten to twelve entries (publisher ruling, 2026-10-10), which at two to three interior pages an entry comes to about thirty pages, between a Digital Study and a Commentary Volume. The volume price is not yet ruled; the publisher has said it will follow the length and detail of the entries and will fall between a Digital Study and a Commentary Volume, by the length of the volume. Any bundle is to be ruled by the publisher.</w:t>
      </w:r>
    </w:p>
    <w:p>
      <w:pPr/>
      <w:r>
        <w:rPr/>
        <w:t>Positions are the publisher’s (publisher ruling, 2026-10-10). Each question’s position is the publisher’s ruling and is recorded in the series Standard before the entry is drafted. Where a position has not been ruled, Claude drafts to the nearest settled position and marks the entry “for ruling”; it does not publish its own view as the answer.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Relation to other rules. Rule 31 is read with Rules 7, 11 and 13–19 (all modes), with Rule 29 (the two other modes) and with Rule 10, which for the Digital Studies still reads “Rules 1–9, 11–28 and 30”. The series is recorded in controlling-documents/Reader_Questions_Series_Standard_v1.1.md. First applied to Reader Questions Volume 1.</w:t>
      </w:r>
    </w:p>
    <w:p>
      <w:pPr>
        <w:pStyle w:val="Heading1"/>
      </w:pPr>
      <w:r>
        <w:t>21. Locked Status</w:t>
      </w:r>
    </w:p>
    <w:p>
      <w:pPr/>
      <w:r>
        <w:rPr>
          <w:b/>
        </w:rPr>
        <w:t>STATUS: APPROVED AND LOCKED — DIGITAL STUDIES MASTER STANDARD v1.90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