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pPr>
        <w:numPr>
          <w:ilvl w:val="0"/>
          <w:numId w:val="3"/>
        </w:numPr>
      </w:pPr>
      <w:r>
        <w:t>Romans 9–11 — Israel’s election, righteousness and covenantal salvation</w:t>
      </w:r>
    </w:p>
    <w:p>
      <w:pPr>
        <w:numPr>
          <w:ilvl w:val="0"/>
          <w:numId w:val="3"/>
        </w:numPr>
      </w:pPr>
      <w:r>
        <w:t>Addressed to Israel, concerning Israel (Rom 9:3–4; 10:1; 11:1)</w:t>
      </w:r>
    </w:p>
    <w:p>
      <w:pPr>
        <w:numPr>
          <w:ilvl w:val="0"/>
          <w:numId w:val="3"/>
        </w:numPr>
      </w:pPr>
      <w:r>
        <w:t>Prophecy Program</w:t>
      </w:r>
    </w:p>
    <w:p>
      <w:pPr>
        <w:numPr>
          <w:ilvl w:val="0"/>
          <w:numId w:val="3"/>
        </w:numPr>
      </w:pPr>
      <w:r>
        <w:t>Read as Israel’s covenantal setting; not a passage on how the Body is saved</w:t>
      </w:r>
    </w:p>
    <w:p>
      <w:pPr>
        <w:numPr>
          <w:ilvl w:val="0"/>
          <w:numId w:val="3"/>
        </w:numPr>
      </w:pPr>
      <w:r>
        <w:t>Romans 11 stays inside the Olive Tree Firewall</w:t>
      </w:r>
    </w:p>
    <w:p>
      <w:pPr>
        <w:numPr>
          <w:ilvl w:val="0"/>
          <w:numId w:val="3"/>
        </w:numPr>
      </w:pPr>
      <w:r>
        <w:t>Romans 10:9–10 — Israel’s covenantal salvation formula</w:t>
      </w:r>
    </w:p>
    <w:p>
      <w:pPr>
        <w:numPr>
          <w:ilvl w:val="0"/>
          <w:numId w:val="3"/>
        </w:numPr>
      </w:pPr>
      <w:r>
        <w:t>Drawn from Deuteronomy 30:14 (quoted at Rom 10:8)</w:t>
      </w:r>
    </w:p>
    <w:p>
      <w:pPr>
        <w:numPr>
          <w:ilvl w:val="0"/>
          <w:numId w:val="3"/>
        </w:numPr>
      </w:pPr>
      <w:r>
        <w:t>Confession is Israel’s covenantal expression, not part of the Body’s salvation</w:t>
      </w:r>
    </w:p>
    <w:p>
      <w:pPr>
        <w:numPr>
          <w:ilvl w:val="0"/>
          <w:numId w:val="3"/>
        </w:numPr>
      </w:pPr>
      <w:r>
        <w:t>Confession has no saving function for the Body</w:t>
      </w:r>
    </w:p>
    <w:p>
      <w:pPr>
        <w:numPr>
          <w:ilvl w:val="0"/>
          <w:numId w:val="3"/>
        </w:numPr>
      </w:pPr>
      <w:r>
        <w:t>The Body is saved by belief alone in the gospel Paul preached (1 Cor 15:1–4; Eph 2:8–9)</w:t>
      </w:r>
    </w:p>
    <w:p>
      <w:pPr>
        <w:numPr>
          <w:ilvl w:val="0"/>
          <w:numId w:val="3"/>
        </w:numPr>
      </w:pPr>
      <w:r>
        <w:t>Romans 10 is not used as a Body salvation passage; Rom 10:12–13 stays in the same setting (the Joel 2:32 quotation)</w:t>
      </w:r>
    </w:p>
    <w:p>
      <w:pPr>
        <w:numPr>
          <w:ilvl w:val="0"/>
          <w:numId w:val="3"/>
        </w:numPr>
      </w:pPr>
      <w:r>
        <w:t>Repentance, baptism, covenant fidelity and confession as program requirements never transfer to the Body (Rule 19)</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Rule 33 — Signs after Acts 28 (2026-10-11)</w:t>
      </w:r>
    </w:p>
    <w:p>
      <w:pPr>
        <w:numPr>
          <w:ilvl w:val="0"/>
          <w:numId w:val="3"/>
        </w:numPr>
      </w:pPr>
      <w:r>
        <w:t>Standing sentence (publisher ruling, 2026-10-11): “With the national suspension of Israel’s Prophecy Program at Acts 28, the sign‑program associated with Israel ceases programmatically. Signs do not continue into the Mystery Program.” It is stated wherever a study, packet or book treats the end of signs, and it is read with Rule 11 (Paul’s fillings, signs and miraculous events in Acts 9–28 are overlap phenomena, reported from the text and not assigned to a single program), Rule 13 (Acts 28 is the national suspension of Israel’s Prophecy Program) and Rule 19. The cessation is stated as a programmatic ruling, not as a gradual fade. It does not turn Paul’s signs in Acts 9–28 into Prophecy Program content, and it makes no statement about God’s power to heal or act today. No working term appears in anything the reader sees (Rule 14). First applied to Book 1 (The Full Framework), Chapter 8 and Appendix T; studies that treat the end of signs are checked against it when reopened or when the publisher directs.</w:t>
      </w:r>
    </w:p>
    <w:p>
      <w:r>
        <w:rPr>
          <w:b/>
        </w:rPr>
        <w:t>XX. Interpretive Modes (publisher directive, 2026-10-06)</w:t>
      </w:r>
    </w:p>
    <w:p>
      <w:pPr>
        <w:numPr>
          <w:ilvl w:val="0"/>
          <w:numId w:val="3"/>
        </w:numPr>
      </w:pPr>
      <w:r>
        <w:t>Authorization. The Framework contains three fully authorized interpretive modes. Mode 1, Text-Governed Interpretation, governs the Digital Studies Series. Mode 2, Canonical Identity Synthesis, governs the Commentary Series. Mode 3, Contextual Exegesis, governs the Readers Question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Mode 3 — Contextual Exegesis (Readers Question Series; publisher directive, 2026-10-10). An entry answers one reader’s question about one verse or short passage by stating what the verse means and arguing that meaning first from its own pericope and the chapter or chapters before it; canonical support is secondary. An entry may take a position, identify a figure and interpret a symbol, and may state as a conclusion what a Digital Study reports only as written (for example, the restrainer of 2 Thessalonians 2:6–7). Every full entry runs in this order: the answer; the context; what carries the weight, each point marked as stated in the text, shown by the context, or inferred; the other readings, stated fairly with named modern writers; what it means for the reader; and related reading. Each question’s position is the publisher’s ruling, recorded in the series Standard before drafting; where a position has not been ruled, the entry is drafted to the nearest settled position and marked for ruling. KJV text is checked against a source before publication.</w:t>
      </w:r>
    </w:p>
    <w:p>
      <w:pPr>
        <w:numPr>
          <w:ilvl w:val="0"/>
          <w:numId w:val="3"/>
        </w:numPr>
      </w:pPr>
      <w:r>
        <w:t>Layers and price (publisher directive, 2026-10-10). Free short answers with paid volumes. The free page carries a short answer, one context paragraph, the passage and related links; the paid volume carries the full entry, ten questions and ten answers a volume, 25–35 pages, at $4.99 digital. The Readers Question Series is shown on its own Questions page, outside the Digital Studies catalog, bundles and Library Edition.</w:t>
      </w:r>
    </w:p>
    <w:p>
      <w:pPr>
        <w:numPr>
          <w:ilvl w:val="0"/>
          <w:numId w:val="3"/>
        </w:numPr>
      </w:pPr>
      <w:r>
        <w:t>Non-conflict. Mode 2 does not invalidate Mode 1, and Mode 1 does not restrict Mode 2. Mode 3 invalidates neither. They are three lanes of one framework.</w:t>
      </w:r>
    </w:p>
    <w:p>
      <w:pPr>
        <w:numPr>
          <w:ilvl w:val="0"/>
          <w:numId w:val="3"/>
        </w:numPr>
      </w:pPr>
      <w:r>
        <w:t>Which rules bind which mode. Rules 7, 11 and 13–19 of the Program Assignment Manual’s standing drafting rules bind all three modes. Rule 8 and Rules 20–28 and 30 bind Mode 1 only. Rules 9 and 10 apply in every mode where a settled ruling is stated and where the review is made; Rule 12 binds Mode 1 only. The reader-facing wording rule (Rule 14) binds all three modes.</w:t>
      </w:r>
    </w:p>
    <w:p>
      <w:pPr>
        <w:numPr>
          <w:ilvl w:val="0"/>
          <w:numId w:val="3"/>
        </w:numPr>
      </w:pPr>
      <w:r>
        <w:t>Program boundary rule (reaffirmed). Even in Mode 2 and Mode 3: Prophecy is not Mystery; Israel is not the Body; program membership is permanent; inheritance distinctions remain absolute; the Body is absent from Revelation, Daniel’s seventieth week and the Day of the Lord; the Acts Overlap chronology is unchanged. Modes 2 and 3 widen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controlling-documents/Prophetic_Commentary_Series_Standard_v1.11.md and Master Standard §20 Rule 29.</w:t>
      </w:r>
    </w:p>
    <w:p>
      <w:pPr>
        <w:numPr>
          <w:ilvl w:val="0"/>
          <w:numId w:val="3"/>
        </w:numPr>
      </w:pPr>
      <w:r>
        <w:t>Series standard (Readers Question Series). The Readers Question Series is governed by controlling-documents/Reader_Questions_Series_Standard_v1.2.md and Master Standard §20 Rule 31.</w:t>
      </w:r>
    </w:p>
    <w:p>
      <w:pPr>
        <w:numPr>
          <w:ilvl w:val="0"/>
          <w:numId w:val="3"/>
        </w:numPr>
      </w:pPr>
      <w:r>
        <w:t>Pauline Doctrine Series (publisher directive, 2026-10-11). An eighth commentary series of five topic-based volumes, written in Mode 2, each built around one narrower question on a large synthesis subject in Paul’s letters: (1) Adam and Christ; (2) The Cross in Paul’s Letters; (3) The Person of Christ in Paul; (4) The Assembly in Order; (5) Liberty, Conscience and the Walk. The series is topic-based and is not a walk through each letter.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(Pauline Doctrine Series). The Pauline Doctrine Series is governed by controlling-documents/Pauline_Doctrine_Series_Standard_v1.14.md and Master Standard §20 Rule 29.</w:t>
      </w:r>
    </w:p>
    <w:p>
      <w:pPr>
        <w:numPr>
          <w:ilvl w:val="0"/>
          <w:numId w:val="3"/>
        </w:numPr>
      </w:pPr>
      <w:r>
        <w:t>The Prophets Series (publisher directive, 2026-10-15). A ninth commentary series of four topic-based volumes, the fourth conditional, written in Mode 2, each built around one narrower question the prophets themselves raise: (1) How the Prophets Spoke; (2) What the Prophets Condemned; (3) The Nations Judged; (4) Elijah Must First Come (dropped, and the series is three volumes, if its realistic page count with the cover is under 50). The series is topic-based and is not a walk through the prophetic books.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(The Prophets Series). The Prophets Series is governed by controlling-documents/Prophets_Series_Standard_v1.2.md and Master Standard §20 Rule 29.</w:t>
      </w:r>
    </w:p>
    <w:p>
      <w:pPr>
        <w:numPr>
          <w:ilvl w:val="0"/>
          <w:numId w:val="3"/>
        </w:numPr>
      </w:pPr>
      <w:r>
        <w:t>Publisher rulings for the Readers Question Series (2026-10-10). 2 Thessalonians 2:3: “the falling away” (apostasia) is the departure of the Body of Christ, the gathering to Christ that must precede the Day of the Lord; it is not a collapse of faith among believers; the restrainer of 2:6–7 is the Body’s presence and ministry in the world. 2 Corinthians 12:7: the thorn in the flesh is opposition, a messenger of Satan raised against Paul’s ministry. 1 Corinthians 15:52 and 1 Thessalonians 4:16: the last trump and the trump of God are the Body’s trumpet and are distinct from the seventh trumpet of Revelation 11:15, which belongs to Israel’s Tribulation sequence. Mode 1 studies continue to report these passages as written under Rules 22 and 30 and the related rules.</w:t>
      </w:r>
    </w:p>
    <w:p>
      <w:pPr>
        <w:numPr>
          <w:ilvl w:val="0"/>
          <w:numId w:val="3"/>
        </w:numPr>
      </w:pPr>
      <w:r>
        <w:t>Modern scholarly sources and citation (publisher directive, 2026-10-06; Master Standard v1.68; sources never hold up a volume). (1) Cite by passage (book, chapter, verse or section), not by page. A page number is printed only when Claude has read it in a text it holds in full (a publisher-supplied text that shows pages, or a free full text); Claude never chases page numbers through blogs, catalogs or previews, and the publisher is never asked to buy, borrow or consult a book. (2) A modern writer is quoted only where Claude has read the actual words in a free full text: text the publisher pastes or attaches, the author’s own free articles, or a public-domain book. Otherwise the volume describes the writer’s position in its own words, names the author and work, and uses no quotation marks. (3) The older tradition (for example Seiss, Alford, Gill, Barnes, Newton, Matthew Henry) is drawn from public-domain works that can be read free, and is quoted only from the text read. (4) A volume carries up to five modern voices and no minimum; a volume with fewer is complete. The authorized pool names who may be used and does not require any of them.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Other well-known modern writers (for example Hendriksen, Ladd, Michaels) may be used on the same conditions. (5) The bibliography gives author, title, publisher and year, with a one-line flag only where a quotation is taken from another page that quotes it or where a view is described and not quoted; it carries no list of what was or was not read, and no verification task is opened for the publisher. (6) Modern writers are preferred to older expositors; a commentary known only through a published review is described by its general method with the reviewer cited, and no view is attributed unless words read state it; no copyrighted commentary text is reproduced beyond short, exact quotations. This replaces the earlier requirements to fetch and verify every quotation, to give full details with printed pages, to include 3–5 modern voices, and to flag paraphrases for the publisher’s review. Volume 1 is priced $14.99 and a separate series page, outside the Digital Studies catalog, bundles and Library Edition, is approved.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