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1.27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(v1.27): Amends the Interior Typeface Standard in Section 8, at the publisher’s direction (2026-09-30). The required interior typeface is now Roboto, in four true faces, replacing the EB Garamond specified in v1.26. Stages 3 and 4 of the Study Development and Approval Workflow are updated to match. The Revision Note, Locked Status and Version History are updated. All other sections carry forward unchanged from v1.26.</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Use the shortest accurate category form, such as “DOCTRINE,”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5–7 purposeful callouts.</w:t>
      </w:r>
    </w:p>
    <w:p>
      <w:pPr>
        <w:pStyle w:val="ListBullet"/>
      </w:pPr>
      <w:r>
        <w:t>The Study Goal is one of the required callouts.</w:t>
      </w:r>
    </w:p>
    <w:p>
      <w:pPr>
        <w:pStyle w:val="ListBullet"/>
      </w:pPr>
      <w:r>
        <w:t>All callouts must have exactly 10 pt spacing before and 10 pt spacing after.</w:t>
      </w:r>
    </w:p>
    <w:p>
      <w:pPr>
        <w:pStyle w:val="ListBullet"/>
      </w:pPr>
      <w:r>
        <w:t>The remaining callouts should be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line spacing, and entry spacing must remain uniform and compact throughout the TOC.</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14 pt space-before, 8 pt space-after.</w:t>
      </w:r>
    </w:p>
    <w:p>
      <w:pPr>
        <w:pStyle w:val="ListBullet"/>
      </w:pPr>
      <w:r>
        <w:t>Heading 2 (numbered subsections) — 10 pt space-before, 5 pt space-after.</w:t>
      </w:r>
    </w:p>
    <w:p>
      <w:pPr/>
      <w:r>
        <w:t>These figures supersede any prior unstated default and are binding for Study 50 forward, and for any earlier study whose interior is reopened for revision.</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Alternating green table rows must use a medium, readable tint. Faint light-green fills that reduce text contrast are not permitted.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1"/>
      </w:pPr>
      <w:r>
        <w:t>19. Locked Status</w:t>
      </w:r>
    </w:p>
    <w:p>
      <w:pPr/>
      <w:r>
        <w:rPr>
          <w:b/>
        </w:rPr>
        <w:t>STATUS:</w:t>
      </w:r>
      <w:r>
        <w:t xml:space="preserve"> APPROVED AND LOCKED — DIGITAL STUDIES MASTER STANDARD v1.27</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20. Version History</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