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Pilot</w:t>
      </w:r>
      <w:r>
        <w:t xml:space="preserve"> </w:t>
      </w:r>
      <w:r>
        <w:t xml:space="preserve">Draft:</w:t>
      </w:r>
      <w:r>
        <w:t xml:space="preserve"> </w:t>
      </w:r>
      <w:r>
        <w:t xml:space="preserve">Seven</w:t>
      </w:r>
      <w:r>
        <w:t xml:space="preserve"> </w:t>
      </w:r>
      <w:r>
        <w:t xml:space="preserve">Entries</w:t>
      </w:r>
      <w:r>
        <w:t xml:space="preserve"> </w:t>
      </w:r>
      <w:r>
        <w:t xml:space="preserve">on</w:t>
      </w:r>
      <w:r>
        <w:t xml:space="preserve"> </w:t>
      </w:r>
      <w:r>
        <w:t xml:space="preserve">How</w:t>
      </w:r>
      <w:r>
        <w:t xml:space="preserve"> </w:t>
      </w:r>
      <w:r>
        <w:t xml:space="preserve">the</w:t>
      </w:r>
      <w:r>
        <w:t xml:space="preserve"> </w:t>
      </w:r>
      <w:r>
        <w:t xml:space="preserve">New</w:t>
      </w:r>
      <w:r>
        <w:t xml:space="preserve"> </w:t>
      </w:r>
      <w:r>
        <w:t xml:space="preserve">Testament</w:t>
      </w:r>
      <w:r>
        <w:t xml:space="preserve"> </w:t>
      </w:r>
      <w:r>
        <w:t xml:space="preserve">Uses</w:t>
      </w:r>
      <w:r>
        <w:t xml:space="preserve"> </w:t>
      </w:r>
      <w:r>
        <w:t xml:space="preserve">the</w:t>
      </w:r>
      <w:r>
        <w:t xml:space="preserve"> </w:t>
      </w:r>
      <w:r>
        <w:t xml:space="preserve">Old</w:t>
      </w:r>
    </w:p>
    <w:p>
      <w:pPr>
        <w:pStyle w:val="Subtitle"/>
      </w:pPr>
      <w:r>
        <w:t xml:space="preserve">Review</w:t>
      </w:r>
      <w:r>
        <w:t xml:space="preserve"> </w:t>
      </w:r>
      <w:r>
        <w:t xml:space="preserve">copy.</w:t>
      </w:r>
      <w:r>
        <w:t xml:space="preserve"> </w:t>
      </w:r>
      <w:r>
        <w:t xml:space="preserve">Not</w:t>
      </w:r>
      <w:r>
        <w:t xml:space="preserve"> </w:t>
      </w:r>
      <w:r>
        <w:t xml:space="preserve">for</w:t>
      </w:r>
      <w:r>
        <w:t xml:space="preserve"> </w:t>
      </w:r>
      <w:r>
        <w:t xml:space="preserve">the</w:t>
      </w:r>
      <w:r>
        <w:t xml:space="preserve"> </w:t>
      </w:r>
      <w:r>
        <w:t xml:space="preserve">website.</w:t>
      </w:r>
    </w:p>
    <w:bookmarkStart w:id="20" w:name="how-to-read-this-review-copy"/>
    <w:p>
      <w:pPr>
        <w:pStyle w:val="Heading1"/>
      </w:pPr>
      <w:r>
        <w:t xml:space="preserve">How to read this review copy</w:t>
      </w:r>
    </w:p>
    <w:p>
      <w:pPr>
        <w:pStyle w:val="FirstParagraph"/>
      </w:pPr>
      <w:r>
        <w:t xml:space="preserve">Each entry has the same five parts: the Old Testament passage in its own setting; what the New Testament writer does with it; why he uses it at that point; what he is not claiming; and what carries the weight, with each claim marked</w:t>
      </w:r>
      <w:r>
        <w:t xml:space="preserve"> </w:t>
      </w:r>
      <w:r>
        <w:rPr>
          <w:bCs/>
          <w:b/>
        </w:rPr>
        <w:t xml:space="preserve">Stated</w:t>
      </w:r>
      <w:r>
        <w:t xml:space="preserve"> </w:t>
      </w:r>
      <w:r>
        <w:t xml:space="preserve">(the text says it),</w:t>
      </w:r>
      <w:r>
        <w:t xml:space="preserve"> </w:t>
      </w:r>
      <w:r>
        <w:rPr>
          <w:bCs/>
          <w:b/>
        </w:rPr>
        <w:t xml:space="preserve">Shown by the context</w:t>
      </w:r>
      <w:r>
        <w:t xml:space="preserve"> </w:t>
      </w:r>
      <w:r>
        <w:t xml:space="preserve">(the surrounding verses show it) or</w:t>
      </w:r>
      <w:r>
        <w:t xml:space="preserve"> </w:t>
      </w:r>
      <w:r>
        <w:rPr>
          <w:bCs/>
          <w:b/>
        </w:rPr>
        <w:t xml:space="preserve">Inferred</w:t>
      </w:r>
      <w:r>
        <w:t xml:space="preserve"> </w:t>
      </w:r>
      <w:r>
        <w:t xml:space="preserve">(the entry’s own reading). The entries argue positions. The notes for the publisher are at the end and are not reader text.</w:t>
      </w:r>
    </w:p>
    <w:bookmarkEnd w:id="20"/>
    <w:bookmarkStart w:id="21" w:name="jude-9-and-zechariah-32"/>
    <w:p>
      <w:pPr>
        <w:pStyle w:val="Heading1"/>
      </w:pPr>
      <w:r>
        <w:t xml:space="preserve">1. Jude 9 and Zechariah 3:2</w:t>
      </w:r>
    </w:p>
    <w:p>
      <w:pPr>
        <w:pStyle w:val="FirstParagraph"/>
      </w:pPr>
      <w:r>
        <w:rPr>
          <w:bCs/>
          <w:b/>
        </w:rPr>
        <w:t xml:space="preserve">The question.</w:t>
      </w:r>
      <w:r>
        <w:t xml:space="preserve"> </w:t>
      </w:r>
      <w:r>
        <w:t xml:space="preserve">Why does Jude tell of a dispute over the body of Moses that the Old Testament never records, and what does he take from Zechariah 3:2?</w:t>
      </w:r>
    </w:p>
    <w:p>
      <w:pPr>
        <w:pStyle w:val="BodyText"/>
      </w:pPr>
      <w:r>
        <w:rPr>
          <w:bCs/>
          <w:b/>
        </w:rPr>
        <w:t xml:space="preserve">The Old Testament passage in its own setting.</w:t>
      </w:r>
      <w:r>
        <w:t xml:space="preserve"> </w:t>
      </w:r>
      <w:r>
        <w:t xml:space="preserve">In Zechariah 3 the prophet is shown Joshua the high priest, standing before the angel of the LORD, in filthy garments, with Satan at his right hand</w:t>
      </w:r>
      <w:r>
        <w:t xml:space="preserve"> </w:t>
      </w:r>
      <w:r>
        <w:t xml:space="preserve">“</w:t>
      </w:r>
      <w:r>
        <w:t xml:space="preserve">to resist him.</w:t>
      </w:r>
      <w:r>
        <w:t xml:space="preserve">”</w:t>
      </w:r>
      <w:r>
        <w:t xml:space="preserve"> </w:t>
      </w:r>
      <w:r>
        <w:t xml:space="preserve">The LORD speaks to the accuser:</w:t>
      </w:r>
      <w:r>
        <w:t xml:space="preserve"> </w:t>
      </w:r>
      <w:r>
        <w:t xml:space="preserve">“</w:t>
      </w:r>
      <w:r>
        <w:t xml:space="preserve">The LORD rebuke thee, O Satan; even the LORD that hath chosen Jerusalem rebuke thee: is not this a brand plucked out of the fire?</w:t>
      </w:r>
      <w:r>
        <w:t xml:space="preserve">”</w:t>
      </w:r>
      <w:r>
        <w:t xml:space="preserve"> </w:t>
      </w:r>
      <w:r>
        <w:t xml:space="preserve">The accuser is silenced by the LORD, not answered by Joshua, and the scene ends with the garments taken away and a clean mitre set on Joshua’s head (Zechariah 3:1–5).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Zechariah 3:2</w:t>
            </w:r>
          </w:p>
        </w:tc>
        <w:tc>
          <w:tcPr/>
          <w:p>
            <w:pPr>
              <w:pStyle w:val="Compact"/>
              <w:jc w:val="left"/>
            </w:pPr>
            <w:r>
              <w:t xml:space="preserve">“</w:t>
            </w:r>
            <w:r>
              <w:t xml:space="preserve">And the LORD said unto Satan, The LORD rebuke thee, O Satan; even the LORD that hath chosen Jerusalem rebuke thee: is not this a brand plucked out of the fire?</w:t>
            </w:r>
            <w:r>
              <w:t xml:space="preserve">”</w:t>
            </w:r>
          </w:p>
        </w:tc>
        <w:tc>
          <w:tcPr/>
          <w:p>
            <w:pPr>
              <w:pStyle w:val="Compact"/>
              <w:jc w:val="left"/>
            </w:pPr>
            <w:r>
              <w:t xml:space="preserve">The rebuke is spoken by the LORD, and it rests on His choice of Jerusalem.</w:t>
            </w:r>
          </w:p>
        </w:tc>
      </w:tr>
      <w:tr>
        <w:tc>
          <w:tcPr/>
          <w:p>
            <w:pPr>
              <w:pStyle w:val="Compact"/>
              <w:jc w:val="left"/>
            </w:pPr>
            <w:r>
              <w:t xml:space="preserve">Jude 9</w:t>
            </w:r>
          </w:p>
        </w:tc>
        <w:tc>
          <w:tcPr/>
          <w:p>
            <w:pPr>
              <w:pStyle w:val="Compact"/>
              <w:jc w:val="left"/>
            </w:pPr>
            <w:r>
              <w:t xml:space="preserve">“</w:t>
            </w:r>
            <w:r>
              <w:t xml:space="preserve">Yet Michael the archangel, when contending with the devil he disputed about the body of Moses, durst not bring against him a railing accusation, but said, The Lord rebuke thee.</w:t>
            </w:r>
            <w:r>
              <w:t xml:space="preserve">”</w:t>
            </w:r>
          </w:p>
        </w:tc>
        <w:tc>
          <w:tcPr/>
          <w:p>
            <w:pPr>
              <w:pStyle w:val="Compact"/>
              <w:jc w:val="left"/>
            </w:pPr>
            <w:r>
              <w:t xml:space="preserve">Only the closing words match Zechariah. The scene is a different one.</w:t>
            </w:r>
          </w:p>
        </w:tc>
      </w:tr>
      <w:tr>
        <w:tc>
          <w:tcPr/>
          <w:p>
            <w:pPr>
              <w:pStyle w:val="Compact"/>
              <w:jc w:val="left"/>
            </w:pPr>
            <w:r>
              <w:t xml:space="preserve">Deuteronomy 34:6</w:t>
            </w:r>
          </w:p>
        </w:tc>
        <w:tc>
          <w:tcPr/>
          <w:p>
            <w:pPr>
              <w:pStyle w:val="Compact"/>
              <w:jc w:val="left"/>
            </w:pPr>
            <w:r>
              <w:t xml:space="preserve">“</w:t>
            </w:r>
            <w:r>
              <w:t xml:space="preserve">And he buried him in a valley in the land of Moab, over against Beth-peor: but no man knoweth of his sepulchre unto this day.</w:t>
            </w:r>
            <w:r>
              <w:t xml:space="preserve">”</w:t>
            </w:r>
          </w:p>
        </w:tc>
        <w:tc>
          <w:tcPr/>
          <w:p>
            <w:pPr>
              <w:pStyle w:val="Compact"/>
              <w:jc w:val="left"/>
            </w:pPr>
            <w:r>
              <w:t xml:space="preserve">The Old Testament records the burial and says no man knows the place. It records no dispute.</w:t>
            </w:r>
          </w:p>
        </w:tc>
      </w:tr>
    </w:tbl>
    <w:p>
      <w:pPr>
        <w:pStyle w:val="BodyText"/>
      </w:pPr>
      <w:r>
        <w:rPr>
          <w:bCs/>
          <w:b/>
        </w:rPr>
        <w:t xml:space="preserve">What Jude does.</w:t>
      </w:r>
      <w:r>
        <w:t xml:space="preserve"> </w:t>
      </w:r>
      <w:r>
        <w:t xml:space="preserve">He reports an event, Michael disputing with the devil about Moses’ body, and gives Michael’s closing words as</w:t>
      </w:r>
      <w:r>
        <w:t xml:space="preserve"> </w:t>
      </w:r>
      <w:r>
        <w:t xml:space="preserve">“</w:t>
      </w:r>
      <w:r>
        <w:t xml:space="preserve">The Lord rebuke thee.</w:t>
      </w:r>
      <w:r>
        <w:t xml:space="preserve">”</w:t>
      </w:r>
      <w:r>
        <w:t xml:space="preserve"> </w:t>
      </w:r>
      <w:r>
        <w:t xml:space="preserve">The words are the words of Zechariah 3:2. The event is not in Zechariah and not in Deuteronomy 34. Jude does not say he is quoting Scripture here. He does not say where he learned of the dispute.</w:t>
      </w:r>
    </w:p>
    <w:p>
      <w:pPr>
        <w:pStyle w:val="BodyText"/>
      </w:pPr>
      <w:r>
        <w:rPr>
          <w:bCs/>
          <w:b/>
        </w:rPr>
        <w:t xml:space="preserve">Why he uses it here.</w:t>
      </w:r>
      <w:r>
        <w:t xml:space="preserve"> </w:t>
      </w:r>
      <w:r>
        <w:t xml:space="preserve">Jude has just said of the men who have crept in that they</w:t>
      </w:r>
      <w:r>
        <w:t xml:space="preserve"> </w:t>
      </w:r>
      <w:r>
        <w:t xml:space="preserve">“</w:t>
      </w:r>
      <w:r>
        <w:t xml:space="preserve">despise dominion, and speak evil of dignities</w:t>
      </w:r>
      <w:r>
        <w:t xml:space="preserve">”</w:t>
      </w:r>
      <w:r>
        <w:t xml:space="preserve"> </w:t>
      </w:r>
      <w:r>
        <w:t xml:space="preserve">(verse 8), and he follows with</w:t>
      </w:r>
      <w:r>
        <w:t xml:space="preserve"> </w:t>
      </w:r>
      <w:r>
        <w:t xml:space="preserve">“</w:t>
      </w:r>
      <w:r>
        <w:t xml:space="preserve">But these speak evil of those things which they know not</w:t>
      </w:r>
      <w:r>
        <w:t xml:space="preserve">”</w:t>
      </w:r>
      <w:r>
        <w:t xml:space="preserve"> </w:t>
      </w:r>
      <w:r>
        <w:t xml:space="preserve">(verse 10). Verse 9 is the argument between those two lines. The archangel, in a contest with the devil himself, did not pronounce judgment on him. He left the judgment to the Lord. If Michael would not do it, these men have no right to do it to dignities.</w:t>
      </w:r>
    </w:p>
    <w:p>
      <w:pPr>
        <w:pStyle w:val="BodyText"/>
      </w:pPr>
      <w:r>
        <w:rPr>
          <w:bCs/>
          <w:b/>
        </w:rPr>
        <w:t xml:space="preserve">What it does not claim.</w:t>
      </w:r>
      <w:r>
        <w:t xml:space="preserve"> </w:t>
      </w:r>
      <w:r>
        <w:t xml:space="preserve">Jude does not say that Zechariah 3 is about Moses. He does not say the dispute is written in the Old Testament, and he gives no instruction on how anyone should speak to the devil. The letter is written to those</w:t>
      </w:r>
      <w:r>
        <w:t xml:space="preserve"> </w:t>
      </w:r>
      <w:r>
        <w:t xml:space="preserve">“</w:t>
      </w:r>
      <w:r>
        <w:t xml:space="preserve">sanctified by God the Father, and preserved in Jesus Christ, and called</w:t>
      </w:r>
      <w:r>
        <w:t xml:space="preserve">”</w:t>
      </w:r>
      <w:r>
        <w:t xml:space="preserve"> </w:t>
      </w:r>
      <w:r>
        <w:t xml:space="preserve">(verse 1), and it belongs to Israel’s line; the verse is a lesson about restraint in judgment, not a pattern of prayer for the Body.</w:t>
      </w:r>
    </w:p>
    <w:p>
      <w:pPr>
        <w:pStyle w:val="BodyText"/>
      </w:pPr>
      <w:r>
        <w:rPr>
          <w:bCs/>
          <w:b/>
        </w:rPr>
        <w:t xml:space="preserve">What carries the weight.</w:t>
      </w:r>
    </w:p>
    <w:p>
      <w:pPr>
        <w:numPr>
          <w:ilvl w:val="0"/>
          <w:numId w:val="1001"/>
        </w:numPr>
        <w:pStyle w:val="Compact"/>
      </w:pPr>
      <w:r>
        <w:t xml:space="preserve">The words</w:t>
      </w:r>
      <w:r>
        <w:t xml:space="preserve"> </w:t>
      </w:r>
      <w:r>
        <w:t xml:space="preserve">“</w:t>
      </w:r>
      <w:r>
        <w:t xml:space="preserve">The Lord rebuke thee</w:t>
      </w:r>
      <w:r>
        <w:t xml:space="preserve">”</w:t>
      </w:r>
      <w:r>
        <w:t xml:space="preserve"> </w:t>
      </w:r>
      <w:r>
        <w:t xml:space="preserve">in Jude 9 are the words of Zechariah 3:2.</w:t>
      </w:r>
      <w:r>
        <w:t xml:space="preserve"> </w:t>
      </w:r>
      <w:r>
        <w:rPr>
          <w:iCs/>
          <w:i/>
        </w:rPr>
        <w:t xml:space="preserve">Shown by the context.</w:t>
      </w:r>
    </w:p>
    <w:p>
      <w:pPr>
        <w:numPr>
          <w:ilvl w:val="0"/>
          <w:numId w:val="1001"/>
        </w:numPr>
        <w:pStyle w:val="Compact"/>
      </w:pPr>
      <w:r>
        <w:t xml:space="preserve">The dispute over the body of Moses is not told in the Old Testament.</w:t>
      </w:r>
      <w:r>
        <w:t xml:space="preserve"> </w:t>
      </w:r>
      <w:r>
        <w:rPr>
          <w:iCs/>
          <w:i/>
        </w:rPr>
        <w:t xml:space="preserve">Stated</w:t>
      </w:r>
      <w:r>
        <w:t xml:space="preserve"> </w:t>
      </w:r>
      <w:r>
        <w:t xml:space="preserve">(Deuteronomy 34:6 gives only the burial and the unknown place).</w:t>
      </w:r>
    </w:p>
    <w:p>
      <w:pPr>
        <w:numPr>
          <w:ilvl w:val="0"/>
          <w:numId w:val="1001"/>
        </w:numPr>
        <w:pStyle w:val="Compact"/>
      </w:pPr>
      <w:r>
        <w:t xml:space="preserve">Jude gives no source for the dispute.</w:t>
      </w:r>
      <w:r>
        <w:t xml:space="preserve"> </w:t>
      </w:r>
      <w:r>
        <w:rPr>
          <w:iCs/>
          <w:i/>
        </w:rPr>
        <w:t xml:space="preserve">Stated</w:t>
      </w:r>
      <w:r>
        <w:t xml:space="preserve"> </w:t>
      </w:r>
      <w:r>
        <w:t xml:space="preserve">by omission: the verse names none.</w:t>
      </w:r>
    </w:p>
    <w:p>
      <w:pPr>
        <w:numPr>
          <w:ilvl w:val="0"/>
          <w:numId w:val="1001"/>
        </w:numPr>
        <w:pStyle w:val="Compact"/>
      </w:pPr>
      <w:r>
        <w:t xml:space="preserve">Jude uses Michael’s restraint to rebuke men who revile dignities.</w:t>
      </w:r>
      <w:r>
        <w:t xml:space="preserve"> </w:t>
      </w:r>
      <w:r>
        <w:rPr>
          <w:iCs/>
          <w:i/>
        </w:rPr>
        <w:t xml:space="preserve">Shown by the context</w:t>
      </w:r>
      <w:r>
        <w:t xml:space="preserve"> </w:t>
      </w:r>
      <w:r>
        <w:t xml:space="preserve">(verses 8 and 10).</w:t>
      </w:r>
    </w:p>
    <w:p>
      <w:pPr>
        <w:numPr>
          <w:ilvl w:val="0"/>
          <w:numId w:val="1001"/>
        </w:numPr>
        <w:pStyle w:val="Compact"/>
      </w:pPr>
      <w:r>
        <w:t xml:space="preserve">The event reached Jude by revelation or by an older account.</w:t>
      </w:r>
      <w:r>
        <w:t xml:space="preserve"> </w:t>
      </w:r>
      <w:r>
        <w:rPr>
          <w:iCs/>
          <w:i/>
        </w:rPr>
        <w:t xml:space="preserve">Inferred</w:t>
      </w:r>
      <w:r>
        <w:t xml:space="preserve">, and left open here (see the notes for the publisher).</w:t>
      </w:r>
    </w:p>
    <w:bookmarkEnd w:id="21"/>
    <w:bookmarkStart w:id="22" w:name="jude-1415-and-genesis-51824"/>
    <w:p>
      <w:pPr>
        <w:pStyle w:val="Heading1"/>
      </w:pPr>
      <w:r>
        <w:t xml:space="preserve">2. Jude 14–15 and Genesis 5:18–24</w:t>
      </w:r>
    </w:p>
    <w:p>
      <w:pPr>
        <w:pStyle w:val="FirstParagraph"/>
      </w:pPr>
      <w:r>
        <w:rPr>
          <w:bCs/>
          <w:b/>
        </w:rPr>
        <w:t xml:space="preserve">The question.</w:t>
      </w:r>
      <w:r>
        <w:t xml:space="preserve"> </w:t>
      </w:r>
      <w:r>
        <w:t xml:space="preserve">Why does Jude say Enoch prophesied words that Genesis does not record?</w:t>
      </w:r>
    </w:p>
    <w:p>
      <w:pPr>
        <w:pStyle w:val="BodyText"/>
      </w:pPr>
      <w:r>
        <w:rPr>
          <w:bCs/>
          <w:b/>
        </w:rPr>
        <w:t xml:space="preserve">The Old Testament passage in its own setting.</w:t>
      </w:r>
      <w:r>
        <w:t xml:space="preserve"> </w:t>
      </w:r>
      <w:r>
        <w:t xml:space="preserve">Genesis 5 is a line of names, each with his years. For Enoch it adds what it adds for no one else:</w:t>
      </w:r>
      <w:r>
        <w:t xml:space="preserve"> </w:t>
      </w:r>
      <w:r>
        <w:t xml:space="preserve">“</w:t>
      </w:r>
      <w:r>
        <w:t xml:space="preserve">And Enoch walked with God: and he was not; for God took him</w:t>
      </w:r>
      <w:r>
        <w:t xml:space="preserve">”</w:t>
      </w:r>
      <w:r>
        <w:t xml:space="preserve"> </w:t>
      </w:r>
      <w:r>
        <w:t xml:space="preserve">(verse 24). There is no speech from Enoch in Genesis, and no word of judgment.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Genesis 5:24</w:t>
            </w:r>
          </w:p>
        </w:tc>
        <w:tc>
          <w:tcPr/>
          <w:p>
            <w:pPr>
              <w:pStyle w:val="Compact"/>
              <w:jc w:val="left"/>
            </w:pPr>
            <w:r>
              <w:t xml:space="preserve">“</w:t>
            </w:r>
            <w:r>
              <w:t xml:space="preserve">And Enoch walked with God: and he was not; for God took him.</w:t>
            </w:r>
            <w:r>
              <w:t xml:space="preserve">”</w:t>
            </w:r>
          </w:p>
        </w:tc>
        <w:tc>
          <w:tcPr/>
          <w:p>
            <w:pPr>
              <w:pStyle w:val="Compact"/>
              <w:jc w:val="left"/>
            </w:pPr>
            <w:r>
              <w:t xml:space="preserve">Genesis records the walk and the taking. It records no prophecy.</w:t>
            </w:r>
          </w:p>
        </w:tc>
      </w:tr>
      <w:tr>
        <w:tc>
          <w:tcPr/>
          <w:p>
            <w:pPr>
              <w:pStyle w:val="Compact"/>
              <w:jc w:val="left"/>
            </w:pPr>
            <w:r>
              <w:t xml:space="preserve">Jude 14–15</w:t>
            </w:r>
          </w:p>
        </w:tc>
        <w:tc>
          <w:tcPr/>
          <w:p>
            <w:pPr>
              <w:pStyle w:val="Compact"/>
              <w:jc w:val="left"/>
            </w:pPr>
            <w:r>
              <w:t xml:space="preserve">“</w:t>
            </w:r>
            <w:r>
              <w:t xml:space="preserve">And Enoch also, the seventh from Adam, prophesied of these, saying, Behold, the Lord cometh with ten thousands of his saints, To execute judgment upon all, and to convince all that are ungodly among them of all their ungodly deeds which they have ungodly committed, and of all their hard speeches which ungodly sinners have spoken against him.</w:t>
            </w:r>
            <w:r>
              <w:t xml:space="preserve">”</w:t>
            </w:r>
          </w:p>
        </w:tc>
        <w:tc>
          <w:tcPr/>
          <w:p>
            <w:pPr>
              <w:pStyle w:val="Compact"/>
              <w:jc w:val="left"/>
            </w:pPr>
            <w:r>
              <w:t xml:space="preserve">Jude names Enoch, counts him seventh from Adam, and gives words not found in Genesis.</w:t>
            </w:r>
          </w:p>
        </w:tc>
      </w:tr>
      <w:tr>
        <w:tc>
          <w:tcPr/>
          <w:p>
            <w:pPr>
              <w:pStyle w:val="Compact"/>
              <w:jc w:val="left"/>
            </w:pPr>
            <w:r>
              <w:t xml:space="preserve">Deuteronomy 33:2</w:t>
            </w:r>
          </w:p>
        </w:tc>
        <w:tc>
          <w:tcPr/>
          <w:p>
            <w:pPr>
              <w:pStyle w:val="Compact"/>
              <w:jc w:val="left"/>
            </w:pPr>
            <w:r>
              <w:t xml:space="preserve">“</w:t>
            </w:r>
            <w:r>
              <w:t xml:space="preserve">…he came with ten thousands of saints…</w:t>
            </w:r>
            <w:r>
              <w:t xml:space="preserve">”</w:t>
            </w:r>
          </w:p>
        </w:tc>
        <w:tc>
          <w:tcPr/>
          <w:p>
            <w:pPr>
              <w:pStyle w:val="Compact"/>
              <w:jc w:val="left"/>
            </w:pPr>
            <w:r>
              <w:t xml:space="preserve">“</w:t>
            </w:r>
            <w:r>
              <w:t xml:space="preserve">Ten thousands of saints</w:t>
            </w:r>
            <w:r>
              <w:t xml:space="preserve">”</w:t>
            </w:r>
            <w:r>
              <w:t xml:space="preserve"> </w:t>
            </w:r>
            <w:r>
              <w:t xml:space="preserve">with the LORD’s coming appears here, at Sinai.</w:t>
            </w:r>
          </w:p>
        </w:tc>
      </w:tr>
      <w:tr>
        <w:tc>
          <w:tcPr/>
          <w:p>
            <w:pPr>
              <w:pStyle w:val="Compact"/>
              <w:jc w:val="left"/>
            </w:pPr>
            <w:r>
              <w:t xml:space="preserve">Zechariah 14:5</w:t>
            </w:r>
          </w:p>
        </w:tc>
        <w:tc>
          <w:tcPr/>
          <w:p>
            <w:pPr>
              <w:pStyle w:val="Compact"/>
              <w:jc w:val="left"/>
            </w:pPr>
            <w:r>
              <w:t xml:space="preserve">“</w:t>
            </w:r>
            <w:r>
              <w:t xml:space="preserve">…and the LORD my God shall come, and all the saints with thee.</w:t>
            </w:r>
            <w:r>
              <w:t xml:space="preserve">”</w:t>
            </w:r>
          </w:p>
        </w:tc>
        <w:tc>
          <w:tcPr/>
          <w:p>
            <w:pPr>
              <w:pStyle w:val="Compact"/>
              <w:jc w:val="left"/>
            </w:pPr>
            <w:r>
              <w:t xml:space="preserve">The LORD’s coming with His saints appears here, at the end.</w:t>
            </w:r>
          </w:p>
        </w:tc>
      </w:tr>
    </w:tbl>
    <w:p>
      <w:pPr>
        <w:pStyle w:val="BodyText"/>
      </w:pPr>
      <w:r>
        <w:rPr>
          <w:bCs/>
          <w:b/>
        </w:rPr>
        <w:t xml:space="preserve">What Jude does.</w:t>
      </w:r>
      <w:r>
        <w:t xml:space="preserve"> </w:t>
      </w:r>
      <w:r>
        <w:t xml:space="preserve">He names Enoch as a prophet,</w:t>
      </w:r>
      <w:r>
        <w:t xml:space="preserve"> </w:t>
      </w:r>
      <w:r>
        <w:t xml:space="preserve">“</w:t>
      </w:r>
      <w:r>
        <w:t xml:space="preserve">the seventh from Adam,</w:t>
      </w:r>
      <w:r>
        <w:t xml:space="preserve">”</w:t>
      </w:r>
      <w:r>
        <w:t xml:space="preserve"> </w:t>
      </w:r>
      <w:r>
        <w:t xml:space="preserve">and gives a saying. The saying is not in Genesis. Its wording is close to two Old Testament lines about the Lord’s coming with His holy ones (Deuteronomy 33:2 and Zechariah 14:5), but it is neither. Jude gives the speech as Enoch’s, and</w:t>
      </w:r>
      <w:r>
        <w:t xml:space="preserve"> </w:t>
      </w:r>
      <w:r>
        <w:t xml:space="preserve">“</w:t>
      </w:r>
      <w:r>
        <w:t xml:space="preserve">prophesied of these</w:t>
      </w:r>
      <w:r>
        <w:t xml:space="preserve">”</w:t>
      </w:r>
      <w:r>
        <w:t xml:space="preserve"> </w:t>
      </w:r>
      <w:r>
        <w:t xml:space="preserve">means he took it to reach forward to the men of his own day.</w:t>
      </w:r>
    </w:p>
    <w:p>
      <w:pPr>
        <w:pStyle w:val="BodyText"/>
      </w:pPr>
      <w:r>
        <w:rPr>
          <w:bCs/>
          <w:b/>
        </w:rPr>
        <w:t xml:space="preserve">Why he uses it here.</w:t>
      </w:r>
      <w:r>
        <w:t xml:space="preserve"> </w:t>
      </w:r>
      <w:r>
        <w:t xml:space="preserve">Jude has run through examples of judgment from Israel’s story: the people out of Egypt, the angels who kept not their first estate, Sodom and Gomorrha, Cain, Balaam, Core (verses 5–11). Enoch is the oldest voice he cites. His point is that the announcement of judgment on the ungodly is as old as the line of Adam, so the men now in the congregation are not facing a new threat. The four uses of</w:t>
      </w:r>
      <w:r>
        <w:t xml:space="preserve"> </w:t>
      </w:r>
      <w:r>
        <w:t xml:space="preserve">“</w:t>
      </w:r>
      <w:r>
        <w:t xml:space="preserve">ungodly</w:t>
      </w:r>
      <w:r>
        <w:t xml:space="preserve">”</w:t>
      </w:r>
      <w:r>
        <w:t xml:space="preserve"> </w:t>
      </w:r>
      <w:r>
        <w:t xml:space="preserve">in verse 15 echo</w:t>
      </w:r>
      <w:r>
        <w:t xml:space="preserve"> </w:t>
      </w:r>
      <w:r>
        <w:t xml:space="preserve">“</w:t>
      </w:r>
      <w:r>
        <w:t xml:space="preserve">ungodly men</w:t>
      </w:r>
      <w:r>
        <w:t xml:space="preserve">”</w:t>
      </w:r>
      <w:r>
        <w:t xml:space="preserve"> </w:t>
      </w:r>
      <w:r>
        <w:t xml:space="preserve">in verse 4, which ties Enoch’s words back to the men Jude has been describing from the start.</w:t>
      </w:r>
    </w:p>
    <w:p>
      <w:pPr>
        <w:pStyle w:val="BodyText"/>
      </w:pPr>
      <w:r>
        <w:rPr>
          <w:bCs/>
          <w:b/>
        </w:rPr>
        <w:t xml:space="preserve">What it does not claim.</w:t>
      </w:r>
      <w:r>
        <w:t xml:space="preserve"> </w:t>
      </w:r>
      <w:r>
        <w:t xml:space="preserve">Jude does not say Genesis records the prophecy. He does not name a book as his source, and nothing in the verses makes any other writing Scripture. The coming of the Lord with ten thousands of His saints is reported in Jude’s own words and not tied by him to a day or a sequence.</w:t>
      </w:r>
    </w:p>
    <w:p>
      <w:pPr>
        <w:pStyle w:val="BodyText"/>
      </w:pPr>
      <w:r>
        <w:rPr>
          <w:bCs/>
          <w:b/>
        </w:rPr>
        <w:t xml:space="preserve">What carries the weight.</w:t>
      </w:r>
    </w:p>
    <w:p>
      <w:pPr>
        <w:numPr>
          <w:ilvl w:val="0"/>
          <w:numId w:val="1002"/>
        </w:numPr>
        <w:pStyle w:val="Compact"/>
      </w:pPr>
      <w:r>
        <w:t xml:space="preserve">Genesis 5 records no prophecy by Enoch.</w:t>
      </w:r>
      <w:r>
        <w:t xml:space="preserve"> </w:t>
      </w:r>
      <w:r>
        <w:rPr>
          <w:iCs/>
          <w:i/>
        </w:rPr>
        <w:t xml:space="preserve">Stated.</w:t>
      </w:r>
    </w:p>
    <w:p>
      <w:pPr>
        <w:numPr>
          <w:ilvl w:val="0"/>
          <w:numId w:val="1002"/>
        </w:numPr>
        <w:pStyle w:val="Compact"/>
      </w:pPr>
      <w:r>
        <w:t xml:space="preserve">Jude says Enoch prophesied and gives the words.</w:t>
      </w:r>
      <w:r>
        <w:t xml:space="preserve"> </w:t>
      </w:r>
      <w:r>
        <w:rPr>
          <w:iCs/>
          <w:i/>
        </w:rPr>
        <w:t xml:space="preserve">Stated.</w:t>
      </w:r>
    </w:p>
    <w:p>
      <w:pPr>
        <w:numPr>
          <w:ilvl w:val="0"/>
          <w:numId w:val="1002"/>
        </w:numPr>
        <w:pStyle w:val="Compact"/>
      </w:pPr>
      <w:r>
        <w:t xml:space="preserve">The words lean on the Old Testament lines about the Lord coming with His saints.</w:t>
      </w:r>
      <w:r>
        <w:t xml:space="preserve"> </w:t>
      </w:r>
      <w:r>
        <w:rPr>
          <w:iCs/>
          <w:i/>
        </w:rPr>
        <w:t xml:space="preserve">Shown by the context</w:t>
      </w:r>
      <w:r>
        <w:t xml:space="preserve"> </w:t>
      </w:r>
      <w:r>
        <w:t xml:space="preserve">(Deuteronomy 33:2; Zechariah 14:5).</w:t>
      </w:r>
    </w:p>
    <w:p>
      <w:pPr>
        <w:numPr>
          <w:ilvl w:val="0"/>
          <w:numId w:val="1002"/>
        </w:numPr>
        <w:pStyle w:val="Compact"/>
      </w:pPr>
      <w:r>
        <w:t xml:space="preserve">Jude counts the message of judgment as old as the line of Adam.</w:t>
      </w:r>
      <w:r>
        <w:t xml:space="preserve"> </w:t>
      </w:r>
      <w:r>
        <w:rPr>
          <w:iCs/>
          <w:i/>
        </w:rPr>
        <w:t xml:space="preserve">Shown by the context</w:t>
      </w:r>
      <w:r>
        <w:t xml:space="preserve"> </w:t>
      </w:r>
      <w:r>
        <w:t xml:space="preserve">(the sequence of verses 5–15).</w:t>
      </w:r>
    </w:p>
    <w:p>
      <w:pPr>
        <w:numPr>
          <w:ilvl w:val="0"/>
          <w:numId w:val="1002"/>
        </w:numPr>
        <w:pStyle w:val="Compact"/>
      </w:pPr>
      <w:r>
        <w:t xml:space="preserve">Where Jude got the saying is not told.</w:t>
      </w:r>
      <w:r>
        <w:t xml:space="preserve"> </w:t>
      </w:r>
      <w:r>
        <w:rPr>
          <w:iCs/>
          <w:i/>
        </w:rPr>
        <w:t xml:space="preserve">Stated</w:t>
      </w:r>
      <w:r>
        <w:t xml:space="preserve"> </w:t>
      </w:r>
      <w:r>
        <w:t xml:space="preserve">by omission.</w:t>
      </w:r>
    </w:p>
    <w:bookmarkEnd w:id="22"/>
    <w:bookmarkStart w:id="23" w:name="corinthians-616-and-genesis-224"/>
    <w:p>
      <w:pPr>
        <w:pStyle w:val="Heading1"/>
      </w:pPr>
      <w:r>
        <w:t xml:space="preserve">3. 1 Corinthians 6:16 and Genesis 2:24</w:t>
      </w:r>
    </w:p>
    <w:p>
      <w:pPr>
        <w:pStyle w:val="FirstParagraph"/>
      </w:pPr>
      <w:r>
        <w:rPr>
          <w:bCs/>
          <w:b/>
        </w:rPr>
        <w:t xml:space="preserve">The question.</w:t>
      </w:r>
      <w:r>
        <w:t xml:space="preserve"> </w:t>
      </w:r>
      <w:r>
        <w:t xml:space="preserve">Why does Paul use the words</w:t>
      </w:r>
      <w:r>
        <w:t xml:space="preserve"> </w:t>
      </w:r>
      <w:r>
        <w:t xml:space="preserve">“</w:t>
      </w:r>
      <w:r>
        <w:t xml:space="preserve">shall be one flesh</w:t>
      </w:r>
      <w:r>
        <w:t xml:space="preserve">”</w:t>
      </w:r>
      <w:r>
        <w:t xml:space="preserve"> </w:t>
      </w:r>
      <w:r>
        <w:t xml:space="preserve">against joining the body to a harlot?</w:t>
      </w:r>
    </w:p>
    <w:p>
      <w:pPr>
        <w:pStyle w:val="BodyText"/>
      </w:pPr>
      <w:r>
        <w:rPr>
          <w:bCs/>
          <w:b/>
        </w:rPr>
        <w:t xml:space="preserve">The Old Testament passage in its own setting.</w:t>
      </w:r>
      <w:r>
        <w:t xml:space="preserve"> </w:t>
      </w:r>
      <w:r>
        <w:t xml:space="preserve">Genesis 2:24 comes after the Lord God has made the woman and brought her to the man, and the man has said</w:t>
      </w:r>
      <w:r>
        <w:t xml:space="preserve"> </w:t>
      </w:r>
      <w:r>
        <w:t xml:space="preserve">“</w:t>
      </w:r>
      <w:r>
        <w:t xml:space="preserve">This is now bone of my bones, and flesh of my flesh.</w:t>
      </w:r>
      <w:r>
        <w:t xml:space="preserve">”</w:t>
      </w:r>
      <w:r>
        <w:t xml:space="preserve"> </w:t>
      </w:r>
      <w:r>
        <w:t xml:space="preserve">The verse that follows is the statement that explains why a man leaves his father and mother:</w:t>
      </w:r>
      <w:r>
        <w:t xml:space="preserve"> </w:t>
      </w:r>
      <w:r>
        <w:t xml:space="preserve">“</w:t>
      </w:r>
      <w:r>
        <w:t xml:space="preserve">Therefore shall a man leave his father and his mother, and shall cleave unto his wife: and they shall be one flesh.</w:t>
      </w:r>
      <w:r>
        <w:t xml:space="preserve">”</w:t>
      </w:r>
      <w:r>
        <w:t xml:space="preserve"> </w:t>
      </w:r>
      <w:r>
        <w:t xml:space="preserve">It is set in the garden, before the fall, before Israel, and before any law.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Genesis 2:24</w:t>
            </w:r>
          </w:p>
        </w:tc>
        <w:tc>
          <w:tcPr/>
          <w:p>
            <w:pPr>
              <w:pStyle w:val="Compact"/>
              <w:jc w:val="left"/>
            </w:pPr>
            <w:r>
              <w:t xml:space="preserve">“</w:t>
            </w:r>
            <w:r>
              <w:t xml:space="preserve">Therefore shall a man leave his father and his mother, and shall cleave unto his wife: and they shall be one flesh.</w:t>
            </w:r>
            <w:r>
              <w:t xml:space="preserve">”</w:t>
            </w:r>
          </w:p>
        </w:tc>
        <w:tc>
          <w:tcPr/>
          <w:p>
            <w:pPr>
              <w:pStyle w:val="Compact"/>
              <w:jc w:val="left"/>
            </w:pPr>
            <w:r>
              <w:t xml:space="preserve">A statement about what marriage is, given at creation.</w:t>
            </w:r>
          </w:p>
        </w:tc>
      </w:tr>
      <w:tr>
        <w:tc>
          <w:tcPr/>
          <w:p>
            <w:pPr>
              <w:pStyle w:val="Compact"/>
              <w:jc w:val="left"/>
            </w:pPr>
            <w:r>
              <w:t xml:space="preserve">1 Corinthians 6:16</w:t>
            </w:r>
          </w:p>
        </w:tc>
        <w:tc>
          <w:tcPr/>
          <w:p>
            <w:pPr>
              <w:pStyle w:val="Compact"/>
              <w:jc w:val="left"/>
            </w:pPr>
            <w:r>
              <w:t xml:space="preserve">“</w:t>
            </w:r>
            <w:r>
              <w:t xml:space="preserve">What? know ye not that he which is joined to an harlot is one body? for two, saith he, shall be one flesh.</w:t>
            </w:r>
            <w:r>
              <w:t xml:space="preserve">”</w:t>
            </w:r>
          </w:p>
        </w:tc>
        <w:tc>
          <w:tcPr/>
          <w:p>
            <w:pPr>
              <w:pStyle w:val="Compact"/>
              <w:jc w:val="left"/>
            </w:pPr>
            <w:r>
              <w:t xml:space="preserve">Paul quotes the closing words and puts them to a different union.</w:t>
            </w:r>
          </w:p>
        </w:tc>
      </w:tr>
      <w:tr>
        <w:tc>
          <w:tcPr/>
          <w:p>
            <w:pPr>
              <w:pStyle w:val="Compact"/>
              <w:jc w:val="left"/>
            </w:pPr>
            <w:r>
              <w:t xml:space="preserve">Matthew 19:4–5</w:t>
            </w:r>
          </w:p>
        </w:tc>
        <w:tc>
          <w:tcPr/>
          <w:p>
            <w:pPr>
              <w:pStyle w:val="Compact"/>
              <w:jc w:val="left"/>
            </w:pPr>
            <w:r>
              <w:t xml:space="preserve">“</w:t>
            </w:r>
            <w:r>
              <w:t xml:space="preserve">…he which made them at the beginning made them male and female, And said, For this cause shall a man leave father and mother, and shall cleave to his wife: and they twain shall be one flesh?</w:t>
            </w:r>
            <w:r>
              <w:t xml:space="preserve">”</w:t>
            </w:r>
          </w:p>
        </w:tc>
        <w:tc>
          <w:tcPr/>
          <w:p>
            <w:pPr>
              <w:pStyle w:val="Compact"/>
              <w:jc w:val="left"/>
            </w:pPr>
            <w:r>
              <w:t xml:space="preserve">The Lord Himself attributes the words to the Maker.</w:t>
            </w:r>
          </w:p>
        </w:tc>
      </w:tr>
    </w:tbl>
    <w:p>
      <w:pPr>
        <w:pStyle w:val="BodyText"/>
      </w:pPr>
      <w:r>
        <w:rPr>
          <w:bCs/>
          <w:b/>
        </w:rPr>
        <w:t xml:space="preserve">What Paul does.</w:t>
      </w:r>
      <w:r>
        <w:t xml:space="preserve"> </w:t>
      </w:r>
      <w:r>
        <w:t xml:space="preserve">He quotes the last clause of Genesis 2:24 with a bare</w:t>
      </w:r>
      <w:r>
        <w:t xml:space="preserve"> </w:t>
      </w:r>
      <w:r>
        <w:t xml:space="preserve">“</w:t>
      </w:r>
      <w:r>
        <w:t xml:space="preserve">saith he</w:t>
      </w:r>
      <w:r>
        <w:t xml:space="preserve">”</w:t>
      </w:r>
      <w:r>
        <w:t xml:space="preserve"> </w:t>
      </w:r>
      <w:r>
        <w:t xml:space="preserve">and uses it to make a claim about union. The man who is joined to a harlot is</w:t>
      </w:r>
      <w:r>
        <w:t xml:space="preserve"> </w:t>
      </w:r>
      <w:r>
        <w:t xml:space="preserve">“</w:t>
      </w:r>
      <w:r>
        <w:t xml:space="preserve">one body</w:t>
      </w:r>
      <w:r>
        <w:t xml:space="preserve">”</w:t>
      </w:r>
      <w:r>
        <w:t xml:space="preserve"> </w:t>
      </w:r>
      <w:r>
        <w:t xml:space="preserve">with her, because the words say the two become one flesh. The quotation is made without argument. Paul expects the Corinthians to know the verse (</w:t>
      </w:r>
      <w:r>
        <w:t xml:space="preserve">“</w:t>
      </w:r>
      <w:r>
        <w:t xml:space="preserve">know ye not</w:t>
      </w:r>
      <w:r>
        <w:t xml:space="preserve">”</w:t>
      </w:r>
      <w:r>
        <w:t xml:space="preserve">).</w:t>
      </w:r>
    </w:p>
    <w:p>
      <w:pPr>
        <w:pStyle w:val="BodyText"/>
      </w:pPr>
      <w:r>
        <w:rPr>
          <w:bCs/>
          <w:b/>
        </w:rPr>
        <w:t xml:space="preserve">Why he uses it here.</w:t>
      </w:r>
      <w:r>
        <w:t xml:space="preserve"> </w:t>
      </w:r>
      <w:r>
        <w:t xml:space="preserve">The argument runs from verse 12 to verse 20 and turns on one question: whose is the body? The body is</w:t>
      </w:r>
      <w:r>
        <w:t xml:space="preserve"> </w:t>
      </w:r>
      <w:r>
        <w:t xml:space="preserve">“</w:t>
      </w:r>
      <w:r>
        <w:t xml:space="preserve">for the Lord; and the Lord for the body</w:t>
      </w:r>
      <w:r>
        <w:t xml:space="preserve">”</w:t>
      </w:r>
      <w:r>
        <w:t xml:space="preserve"> </w:t>
      </w:r>
      <w:r>
        <w:t xml:space="preserve">(verse 13). The believers’ bodies are</w:t>
      </w:r>
      <w:r>
        <w:t xml:space="preserve"> </w:t>
      </w:r>
      <w:r>
        <w:t xml:space="preserve">“</w:t>
      </w:r>
      <w:r>
        <w:t xml:space="preserve">members of Christ</w:t>
      </w:r>
      <w:r>
        <w:t xml:space="preserve">”</w:t>
      </w:r>
      <w:r>
        <w:t xml:space="preserve"> </w:t>
      </w:r>
      <w:r>
        <w:t xml:space="preserve">(verse 15). To join those members to a harlot is to make them the harlot’s. Verse 16 gives the ground: a bodily union makes the two one, whatever the intent. Verse 17 sets the other union beside it:</w:t>
      </w:r>
      <w:r>
        <w:t xml:space="preserve"> </w:t>
      </w:r>
      <w:r>
        <w:t xml:space="preserve">“</w:t>
      </w:r>
      <w:r>
        <w:t xml:space="preserve">he that is joined unto the Lord is one spirit.</w:t>
      </w:r>
      <w:r>
        <w:t xml:space="preserve">”</w:t>
      </w:r>
      <w:r>
        <w:t xml:space="preserve"> </w:t>
      </w:r>
      <w:r>
        <w:t xml:space="preserve">The two unions cannot be held together.</w:t>
      </w:r>
    </w:p>
    <w:p>
      <w:pPr>
        <w:pStyle w:val="BodyText"/>
      </w:pPr>
      <w:r>
        <w:rPr>
          <w:bCs/>
          <w:b/>
        </w:rPr>
        <w:t xml:space="preserve">What it does not claim.</w:t>
      </w:r>
      <w:r>
        <w:t xml:space="preserve"> </w:t>
      </w:r>
      <w:r>
        <w:t xml:space="preserve">Paul does not say that Genesis 2:24 is a law for the Gentile Corinthians, and he does not bring them under the law of Moses. He uses a statement that comes before Israel and before the law, about what union is. He does not say that fornication is the only sin the verse speaks to, and he does not teach that a marriage is dissolved by it. The passage is about the body of the believer and the union of the believer with the Lord, written to the assembly at Corinth.</w:t>
      </w:r>
    </w:p>
    <w:p>
      <w:pPr>
        <w:pStyle w:val="BodyText"/>
      </w:pPr>
      <w:r>
        <w:rPr>
          <w:bCs/>
          <w:b/>
        </w:rPr>
        <w:t xml:space="preserve">What carries the weight.</w:t>
      </w:r>
    </w:p>
    <w:p>
      <w:pPr>
        <w:numPr>
          <w:ilvl w:val="0"/>
          <w:numId w:val="1003"/>
        </w:numPr>
        <w:pStyle w:val="Compact"/>
      </w:pPr>
      <w:r>
        <w:t xml:space="preserve">Paul quotes the words of Genesis 2:24 to describe the effect of joining to a harlot.</w:t>
      </w:r>
      <w:r>
        <w:t xml:space="preserve"> </w:t>
      </w:r>
      <w:r>
        <w:rPr>
          <w:iCs/>
          <w:i/>
        </w:rPr>
        <w:t xml:space="preserve">Stated.</w:t>
      </w:r>
    </w:p>
    <w:p>
      <w:pPr>
        <w:numPr>
          <w:ilvl w:val="0"/>
          <w:numId w:val="1003"/>
        </w:numPr>
        <w:pStyle w:val="Compact"/>
      </w:pPr>
      <w:r>
        <w:t xml:space="preserve">The words are the words of creation, spoken before Israel and the law.</w:t>
      </w:r>
      <w:r>
        <w:t xml:space="preserve"> </w:t>
      </w:r>
      <w:r>
        <w:rPr>
          <w:iCs/>
          <w:i/>
        </w:rPr>
        <w:t xml:space="preserve">Shown by the context</w:t>
      </w:r>
      <w:r>
        <w:t xml:space="preserve"> </w:t>
      </w:r>
      <w:r>
        <w:t xml:space="preserve">(Genesis 2; Matthew 19:4–5 gives the Maker as speaker).</w:t>
      </w:r>
    </w:p>
    <w:p>
      <w:pPr>
        <w:numPr>
          <w:ilvl w:val="0"/>
          <w:numId w:val="1003"/>
        </w:numPr>
        <w:pStyle w:val="Compact"/>
      </w:pPr>
      <w:r>
        <w:t xml:space="preserve">The argument is about the body belonging to Christ, with the harlot as the rival claim.</w:t>
      </w:r>
      <w:r>
        <w:t xml:space="preserve"> </w:t>
      </w:r>
      <w:r>
        <w:rPr>
          <w:iCs/>
          <w:i/>
        </w:rPr>
        <w:t xml:space="preserve">Shown by the context</w:t>
      </w:r>
      <w:r>
        <w:t xml:space="preserve"> </w:t>
      </w:r>
      <w:r>
        <w:t xml:space="preserve">(verses 13, 15, 17, 19–20).</w:t>
      </w:r>
    </w:p>
    <w:p>
      <w:pPr>
        <w:numPr>
          <w:ilvl w:val="0"/>
          <w:numId w:val="1003"/>
        </w:numPr>
        <w:pStyle w:val="Compact"/>
      </w:pPr>
      <w:r>
        <w:t xml:space="preserve">Paul uses a pre-law creation statement so that it can speak to Gentiles without putting them under Moses.</w:t>
      </w:r>
      <w:r>
        <w:t xml:space="preserve"> </w:t>
      </w:r>
      <w:r>
        <w:rPr>
          <w:iCs/>
          <w:i/>
        </w:rPr>
        <w:t xml:space="preserve">Inferred.</w:t>
      </w:r>
    </w:p>
    <w:bookmarkEnd w:id="23"/>
    <w:bookmarkStart w:id="24" w:name="mark-1068-and-genesis-127-224"/>
    <w:p>
      <w:pPr>
        <w:pStyle w:val="Heading1"/>
      </w:pPr>
      <w:r>
        <w:t xml:space="preserve">4. Mark 10:6–8 and Genesis 1:27; 2:24</w:t>
      </w:r>
    </w:p>
    <w:p>
      <w:pPr>
        <w:pStyle w:val="FirstParagraph"/>
      </w:pPr>
      <w:r>
        <w:rPr>
          <w:bCs/>
          <w:b/>
        </w:rPr>
        <w:t xml:space="preserve">The question.</w:t>
      </w:r>
      <w:r>
        <w:t xml:space="preserve"> </w:t>
      </w:r>
      <w:r>
        <w:t xml:space="preserve">Why does the Lord join two creation lines to answer a question about divorce?</w:t>
      </w:r>
    </w:p>
    <w:p>
      <w:pPr>
        <w:pStyle w:val="BodyText"/>
      </w:pPr>
      <w:r>
        <w:rPr>
          <w:bCs/>
          <w:b/>
        </w:rPr>
        <w:t xml:space="preserve">The Old Testament passage in its own setting.</w:t>
      </w:r>
      <w:r>
        <w:t xml:space="preserve"> </w:t>
      </w:r>
      <w:r>
        <w:t xml:space="preserve">Genesis 1:27 states what God made:</w:t>
      </w:r>
      <w:r>
        <w:t xml:space="preserve"> </w:t>
      </w:r>
      <w:r>
        <w:t xml:space="preserve">“</w:t>
      </w:r>
      <w:r>
        <w:t xml:space="preserve">male and female created he them.</w:t>
      </w:r>
      <w:r>
        <w:t xml:space="preserve">”</w:t>
      </w:r>
      <w:r>
        <w:t xml:space="preserve"> </w:t>
      </w:r>
      <w:r>
        <w:t xml:space="preserve">Genesis 2:24 states what follows from the woman’s making: a man leaves his parents, cleaves to his wife, and they are one flesh. The two verses sit in two different accounts of the same beginning.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Deuteronomy 24:1</w:t>
            </w:r>
          </w:p>
        </w:tc>
        <w:tc>
          <w:tcPr/>
          <w:p>
            <w:pPr>
              <w:pStyle w:val="Compact"/>
              <w:jc w:val="left"/>
            </w:pPr>
            <w:r>
              <w:t xml:space="preserve">“</w:t>
            </w:r>
            <w:r>
              <w:t xml:space="preserve">…then let him write her a bill of divorcement, and give it in her hand, and send her out of his house.</w:t>
            </w:r>
            <w:r>
              <w:t xml:space="preserve">”</w:t>
            </w:r>
          </w:p>
        </w:tc>
        <w:tc>
          <w:tcPr/>
          <w:p>
            <w:pPr>
              <w:pStyle w:val="Compact"/>
              <w:jc w:val="left"/>
            </w:pPr>
            <w:r>
              <w:t xml:space="preserve">The provision the Pharisees point to.</w:t>
            </w:r>
          </w:p>
        </w:tc>
      </w:tr>
      <w:tr>
        <w:tc>
          <w:tcPr/>
          <w:p>
            <w:pPr>
              <w:pStyle w:val="Compact"/>
              <w:jc w:val="left"/>
            </w:pPr>
            <w:r>
              <w:t xml:space="preserve">Mark 10:6</w:t>
            </w:r>
          </w:p>
        </w:tc>
        <w:tc>
          <w:tcPr/>
          <w:p>
            <w:pPr>
              <w:pStyle w:val="Compact"/>
              <w:jc w:val="left"/>
            </w:pPr>
            <w:r>
              <w:t xml:space="preserve">“</w:t>
            </w:r>
            <w:r>
              <w:t xml:space="preserve">But from the beginning of the creation God made them male and female.</w:t>
            </w:r>
            <w:r>
              <w:t xml:space="preserve">”</w:t>
            </w:r>
          </w:p>
        </w:tc>
        <w:tc>
          <w:tcPr/>
          <w:p>
            <w:pPr>
              <w:pStyle w:val="Compact"/>
              <w:jc w:val="left"/>
            </w:pPr>
            <w:r>
              <w:t xml:space="preserve">Closely follows Genesis 1:27, with no introduction.</w:t>
            </w:r>
          </w:p>
        </w:tc>
      </w:tr>
      <w:tr>
        <w:tc>
          <w:tcPr/>
          <w:p>
            <w:pPr>
              <w:pStyle w:val="Compact"/>
              <w:jc w:val="left"/>
            </w:pPr>
            <w:r>
              <w:t xml:space="preserve">Mark 10:7–8</w:t>
            </w:r>
          </w:p>
        </w:tc>
        <w:tc>
          <w:tcPr/>
          <w:p>
            <w:pPr>
              <w:pStyle w:val="Compact"/>
              <w:jc w:val="left"/>
            </w:pPr>
            <w:r>
              <w:t xml:space="preserve">“</w:t>
            </w:r>
            <w:r>
              <w:t xml:space="preserve">For this cause shall a man leave his father and mother, and cleave to his wife; And they twain shall be one flesh: so then they are no more twain, but one flesh.</w:t>
            </w:r>
            <w:r>
              <w:t xml:space="preserve">”</w:t>
            </w:r>
          </w:p>
        </w:tc>
        <w:tc>
          <w:tcPr/>
          <w:p>
            <w:pPr>
              <w:pStyle w:val="Compact"/>
              <w:jc w:val="left"/>
            </w:pPr>
            <w:r>
              <w:t xml:space="preserve">Genesis 2:24, joined to 1:27 with</w:t>
            </w:r>
            <w:r>
              <w:t xml:space="preserve"> </w:t>
            </w:r>
            <w:r>
              <w:t xml:space="preserve">“</w:t>
            </w:r>
            <w:r>
              <w:t xml:space="preserve">For this cause.</w:t>
            </w:r>
            <w:r>
              <w:t xml:space="preserve">”</w:t>
            </w:r>
          </w:p>
        </w:tc>
      </w:tr>
    </w:tbl>
    <w:p>
      <w:pPr>
        <w:pStyle w:val="BodyText"/>
      </w:pPr>
      <w:r>
        <w:rPr>
          <w:bCs/>
          <w:b/>
        </w:rPr>
        <w:t xml:space="preserve">What the Lord does.</w:t>
      </w:r>
      <w:r>
        <w:t xml:space="preserve"> </w:t>
      </w:r>
      <w:r>
        <w:t xml:space="preserve">The Pharisees come</w:t>
      </w:r>
      <w:r>
        <w:t xml:space="preserve"> </w:t>
      </w:r>
      <w:r>
        <w:t xml:space="preserve">“</w:t>
      </w:r>
      <w:r>
        <w:t xml:space="preserve">tempting him</w:t>
      </w:r>
      <w:r>
        <w:t xml:space="preserve">”</w:t>
      </w:r>
      <w:r>
        <w:t xml:space="preserve"> </w:t>
      </w:r>
      <w:r>
        <w:t xml:space="preserve">with a question about whether it is lawful to put away a wife (verse 2). He answers with a question:</w:t>
      </w:r>
      <w:r>
        <w:t xml:space="preserve"> </w:t>
      </w:r>
      <w:r>
        <w:t xml:space="preserve">“</w:t>
      </w:r>
      <w:r>
        <w:t xml:space="preserve">What did Moses command you?</w:t>
      </w:r>
      <w:r>
        <w:t xml:space="preserve">”</w:t>
      </w:r>
      <w:r>
        <w:t xml:space="preserve"> </w:t>
      </w:r>
      <w:r>
        <w:t xml:space="preserve">They give Moses’ provision. He answers that Moses wrote it</w:t>
      </w:r>
      <w:r>
        <w:t xml:space="preserve"> </w:t>
      </w:r>
      <w:r>
        <w:t xml:space="preserve">“</w:t>
      </w:r>
      <w:r>
        <w:t xml:space="preserve">for the hardness of your heart</w:t>
      </w:r>
      <w:r>
        <w:t xml:space="preserve">”</w:t>
      </w:r>
      <w:r>
        <w:t xml:space="preserve"> </w:t>
      </w:r>
      <w:r>
        <w:t xml:space="preserve">(verse 5) and goes behind Moses:</w:t>
      </w:r>
      <w:r>
        <w:t xml:space="preserve"> </w:t>
      </w:r>
      <w:r>
        <w:t xml:space="preserve">“</w:t>
      </w:r>
      <w:r>
        <w:t xml:space="preserve">from the beginning of the creation.</w:t>
      </w:r>
      <w:r>
        <w:t xml:space="preserve">”</w:t>
      </w:r>
      <w:r>
        <w:t xml:space="preserve"> </w:t>
      </w:r>
      <w:r>
        <w:t xml:space="preserve">He quotes Genesis 1:27, then Genesis 2:24 without any formula, and ends with His own conclusion in verse 9:</w:t>
      </w:r>
      <w:r>
        <w:t xml:space="preserve"> </w:t>
      </w:r>
      <w:r>
        <w:t xml:space="preserve">“</w:t>
      </w:r>
      <w:r>
        <w:t xml:space="preserve">What therefore God hath joined together, let not man put asunder.</w:t>
      </w:r>
      <w:r>
        <w:t xml:space="preserve">”</w:t>
      </w:r>
    </w:p>
    <w:p>
      <w:pPr>
        <w:pStyle w:val="BodyText"/>
      </w:pPr>
      <w:r>
        <w:rPr>
          <w:bCs/>
          <w:b/>
        </w:rPr>
        <w:t xml:space="preserve">Why He does it here.</w:t>
      </w:r>
      <w:r>
        <w:t xml:space="preserve"> </w:t>
      </w:r>
      <w:r>
        <w:t xml:space="preserve">The question was about what is lawful. He moves it from what Moses allowed to what God did. The two verses together make one point. God made them male and female, and for that reason the man and the woman become one. The union was not made by a license and is not undone by one. Moses’ provision is placed on one side and explained: it was written because of hardness of heart, which makes it a concession, and not a statement of the beginning.</w:t>
      </w:r>
    </w:p>
    <w:p>
      <w:pPr>
        <w:pStyle w:val="BodyText"/>
      </w:pPr>
      <w:r>
        <w:rPr>
          <w:bCs/>
          <w:b/>
        </w:rPr>
        <w:t xml:space="preserve">What it does not claim.</w:t>
      </w:r>
      <w:r>
        <w:t xml:space="preserve"> </w:t>
      </w:r>
      <w:r>
        <w:t xml:space="preserve">He does not say Moses was wrong to write the provision. He says why it was written. He is answering Pharisees, in Israel, while the law of Moses stood, which is why the question and the answer both begin with Moses. He is not setting out the Body’s rule for marriage; that is spoken to the Body in Paul’s letters. The exception that Matthew records (Matthew 19:9) is not in Mark’s account and is not treated here.</w:t>
      </w:r>
    </w:p>
    <w:p>
      <w:pPr>
        <w:pStyle w:val="BodyText"/>
      </w:pPr>
      <w:r>
        <w:rPr>
          <w:bCs/>
          <w:b/>
        </w:rPr>
        <w:t xml:space="preserve">What carries the weight.</w:t>
      </w:r>
    </w:p>
    <w:p>
      <w:pPr>
        <w:numPr>
          <w:ilvl w:val="0"/>
          <w:numId w:val="1004"/>
        </w:numPr>
        <w:pStyle w:val="Compact"/>
      </w:pPr>
      <w:r>
        <w:t xml:space="preserve">The Pharisees cite Moses; the Lord answers from creation.</w:t>
      </w:r>
      <w:r>
        <w:t xml:space="preserve"> </w:t>
      </w:r>
      <w:r>
        <w:rPr>
          <w:iCs/>
          <w:i/>
        </w:rPr>
        <w:t xml:space="preserve">Stated</w:t>
      </w:r>
      <w:r>
        <w:t xml:space="preserve"> </w:t>
      </w:r>
      <w:r>
        <w:t xml:space="preserve">(verses 3–6).</w:t>
      </w:r>
    </w:p>
    <w:p>
      <w:pPr>
        <w:numPr>
          <w:ilvl w:val="0"/>
          <w:numId w:val="1004"/>
        </w:numPr>
        <w:pStyle w:val="Compact"/>
      </w:pPr>
      <w:r>
        <w:t xml:space="preserve">Verse 6 follows Genesis 1:27 and verses 7–8 are Genesis 2:24, quoted together without a formula.</w:t>
      </w:r>
      <w:r>
        <w:t xml:space="preserve"> </w:t>
      </w:r>
      <w:r>
        <w:rPr>
          <w:iCs/>
          <w:i/>
        </w:rPr>
        <w:t xml:space="preserve">Shown by the context.</w:t>
      </w:r>
    </w:p>
    <w:p>
      <w:pPr>
        <w:numPr>
          <w:ilvl w:val="0"/>
          <w:numId w:val="1004"/>
        </w:numPr>
        <w:pStyle w:val="Compact"/>
      </w:pPr>
      <w:r>
        <w:t xml:space="preserve">Moses’ provision is explained as given for hardness of heart.</w:t>
      </w:r>
      <w:r>
        <w:t xml:space="preserve"> </w:t>
      </w:r>
      <w:r>
        <w:rPr>
          <w:iCs/>
          <w:i/>
        </w:rPr>
        <w:t xml:space="preserve">Stated</w:t>
      </w:r>
      <w:r>
        <w:t xml:space="preserve"> </w:t>
      </w:r>
      <w:r>
        <w:t xml:space="preserve">(verse 5).</w:t>
      </w:r>
    </w:p>
    <w:p>
      <w:pPr>
        <w:numPr>
          <w:ilvl w:val="0"/>
          <w:numId w:val="1004"/>
        </w:numPr>
        <w:pStyle w:val="Compact"/>
      </w:pPr>
      <w:r>
        <w:t xml:space="preserve">The Lord’s answer is given to Israel under the law.</w:t>
      </w:r>
      <w:r>
        <w:t xml:space="preserve"> </w:t>
      </w:r>
      <w:r>
        <w:rPr>
          <w:iCs/>
          <w:i/>
        </w:rPr>
        <w:t xml:space="preserve">Shown by the context.</w:t>
      </w:r>
    </w:p>
    <w:p>
      <w:pPr>
        <w:numPr>
          <w:ilvl w:val="0"/>
          <w:numId w:val="1004"/>
        </w:numPr>
        <w:pStyle w:val="Compact"/>
      </w:pPr>
      <w:r>
        <w:t xml:space="preserve">He treats Genesis 1 and 2 as one account of one beginning.</w:t>
      </w:r>
      <w:r>
        <w:t xml:space="preserve"> </w:t>
      </w:r>
      <w:r>
        <w:rPr>
          <w:iCs/>
          <w:i/>
        </w:rPr>
        <w:t xml:space="preserve">Inferred</w:t>
      </w:r>
      <w:r>
        <w:t xml:space="preserve"> </w:t>
      </w:r>
      <w:r>
        <w:t xml:space="preserve">from His joining the two verses.</w:t>
      </w:r>
    </w:p>
    <w:bookmarkEnd w:id="24"/>
    <w:bookmarkStart w:id="25" w:name="corinthians-413-and-psalm-11610"/>
    <w:p>
      <w:pPr>
        <w:pStyle w:val="Heading1"/>
      </w:pPr>
      <w:r>
        <w:t xml:space="preserve">5. 2 Corinthians 4:13 and Psalm 116:10</w:t>
      </w:r>
    </w:p>
    <w:p>
      <w:pPr>
        <w:pStyle w:val="FirstParagraph"/>
      </w:pPr>
      <w:r>
        <w:rPr>
          <w:bCs/>
          <w:b/>
        </w:rPr>
        <w:t xml:space="preserve">The question.</w:t>
      </w:r>
      <w:r>
        <w:t xml:space="preserve"> </w:t>
      </w:r>
      <w:r>
        <w:t xml:space="preserve">Why does Paul quote a psalm of deliverance as the pattern of his own speaking?</w:t>
      </w:r>
    </w:p>
    <w:p>
      <w:pPr>
        <w:pStyle w:val="BodyText"/>
      </w:pPr>
      <w:r>
        <w:rPr>
          <w:bCs/>
          <w:b/>
        </w:rPr>
        <w:t xml:space="preserve">The Old Testament passage in its own setting.</w:t>
      </w:r>
      <w:r>
        <w:t xml:space="preserve"> </w:t>
      </w:r>
      <w:r>
        <w:t xml:space="preserve">Psalm 116 is a thanksgiving for being brought out of the nearness of death. The speaker was in</w:t>
      </w:r>
      <w:r>
        <w:t xml:space="preserve"> </w:t>
      </w:r>
      <w:r>
        <w:t xml:space="preserve">“</w:t>
      </w:r>
      <w:r>
        <w:t xml:space="preserve">the sorrows of death</w:t>
      </w:r>
      <w:r>
        <w:t xml:space="preserve">”</w:t>
      </w:r>
      <w:r>
        <w:t xml:space="preserve"> </w:t>
      </w:r>
      <w:r>
        <w:t xml:space="preserve">(verse 3), called on the LORD, and was delivered:</w:t>
      </w:r>
      <w:r>
        <w:t xml:space="preserve"> </w:t>
      </w:r>
      <w:r>
        <w:t xml:space="preserve">“</w:t>
      </w:r>
      <w:r>
        <w:t xml:space="preserve">thou hast delivered my soul from death, mine eyes from tears, and my feet from falling</w:t>
      </w:r>
      <w:r>
        <w:t xml:space="preserve">”</w:t>
      </w:r>
      <w:r>
        <w:t xml:space="preserve"> </w:t>
      </w:r>
      <w:r>
        <w:t xml:space="preserve">(verse 8). Verse 10 reads in full:</w:t>
      </w:r>
      <w:r>
        <w:t xml:space="preserve"> </w:t>
      </w:r>
      <w:r>
        <w:t xml:space="preserve">“</w:t>
      </w:r>
      <w:r>
        <w:t xml:space="preserve">I believed, therefore have I spoken: I was greatly afflicted.</w:t>
      </w:r>
      <w:r>
        <w:t xml:space="preserve">”</w:t>
      </w:r>
      <w:r>
        <w:t xml:space="preserve"> </w:t>
      </w:r>
      <w:r>
        <w:t xml:space="preserve">The next verse goes on:</w:t>
      </w:r>
      <w:r>
        <w:t xml:space="preserve"> </w:t>
      </w:r>
      <w:r>
        <w:t xml:space="preserve">“</w:t>
      </w:r>
      <w:r>
        <w:t xml:space="preserve">I said in my haste, All men are liars.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Psalm 116:10</w:t>
            </w:r>
          </w:p>
        </w:tc>
        <w:tc>
          <w:tcPr/>
          <w:p>
            <w:pPr>
              <w:pStyle w:val="Compact"/>
              <w:jc w:val="left"/>
            </w:pPr>
            <w:r>
              <w:t xml:space="preserve">“</w:t>
            </w:r>
            <w:r>
              <w:t xml:space="preserve">I believed, therefore have I spoken: I was greatly afflicted:</w:t>
            </w:r>
            <w:r>
              <w:t xml:space="preserve">”</w:t>
            </w:r>
          </w:p>
        </w:tc>
        <w:tc>
          <w:tcPr/>
          <w:p>
            <w:pPr>
              <w:pStyle w:val="Compact"/>
              <w:jc w:val="left"/>
            </w:pPr>
            <w:r>
              <w:t xml:space="preserve">Belief first, speech from it, in a time of affliction.</w:t>
            </w:r>
          </w:p>
        </w:tc>
      </w:tr>
      <w:tr>
        <w:tc>
          <w:tcPr/>
          <w:p>
            <w:pPr>
              <w:pStyle w:val="Compact"/>
              <w:jc w:val="left"/>
            </w:pPr>
            <w:r>
              <w:t xml:space="preserve">2 Corinthians 4:13</w:t>
            </w:r>
          </w:p>
        </w:tc>
        <w:tc>
          <w:tcPr/>
          <w:p>
            <w:pPr>
              <w:pStyle w:val="Compact"/>
              <w:jc w:val="left"/>
            </w:pPr>
            <w:r>
              <w:t xml:space="preserve">“</w:t>
            </w:r>
            <w:r>
              <w:t xml:space="preserve">We having the same spirit of faith, according as it is written, I believed, and therefore have I spoken; we also believe, and therefore speak;</w:t>
            </w:r>
            <w:r>
              <w:t xml:space="preserve">”</w:t>
            </w:r>
          </w:p>
        </w:tc>
        <w:tc>
          <w:tcPr/>
          <w:p>
            <w:pPr>
              <w:pStyle w:val="Compact"/>
              <w:jc w:val="left"/>
            </w:pPr>
            <w:r>
              <w:t xml:space="preserve">Paul quotes the clause and carries it over to his own speaking.</w:t>
            </w:r>
          </w:p>
        </w:tc>
      </w:tr>
      <w:tr>
        <w:tc>
          <w:tcPr/>
          <w:p>
            <w:pPr>
              <w:pStyle w:val="Compact"/>
              <w:jc w:val="left"/>
            </w:pPr>
            <w:r>
              <w:t xml:space="preserve">2 Corinthians 4:14</w:t>
            </w:r>
          </w:p>
        </w:tc>
        <w:tc>
          <w:tcPr/>
          <w:p>
            <w:pPr>
              <w:pStyle w:val="Compact"/>
              <w:jc w:val="left"/>
            </w:pPr>
            <w:r>
              <w:t xml:space="preserve">“</w:t>
            </w:r>
            <w:r>
              <w:t xml:space="preserve">Knowing that he which raised up the Lord Jesus shall raise up us also by Jesus, and shall present us with you.</w:t>
            </w:r>
            <w:r>
              <w:t xml:space="preserve">”</w:t>
            </w:r>
          </w:p>
        </w:tc>
        <w:tc>
          <w:tcPr/>
          <w:p>
            <w:pPr>
              <w:pStyle w:val="Compact"/>
              <w:jc w:val="left"/>
            </w:pPr>
            <w:r>
              <w:t xml:space="preserve">Where his belief is placed.</w:t>
            </w:r>
          </w:p>
        </w:tc>
      </w:tr>
    </w:tbl>
    <w:p>
      <w:pPr>
        <w:pStyle w:val="BodyText"/>
      </w:pPr>
      <w:r>
        <w:rPr>
          <w:bCs/>
          <w:b/>
        </w:rPr>
        <w:t xml:space="preserve">What Paul does.</w:t>
      </w:r>
      <w:r>
        <w:t xml:space="preserve"> </w:t>
      </w:r>
      <w:r>
        <w:t xml:space="preserve">He cites the psalm as</w:t>
      </w:r>
      <w:r>
        <w:t xml:space="preserve"> </w:t>
      </w:r>
      <w:r>
        <w:t xml:space="preserve">“</w:t>
      </w:r>
      <w:r>
        <w:t xml:space="preserve">written</w:t>
      </w:r>
      <w:r>
        <w:t xml:space="preserve">”</w:t>
      </w:r>
      <w:r>
        <w:t xml:space="preserve"> </w:t>
      </w:r>
      <w:r>
        <w:t xml:space="preserve">and says</w:t>
      </w:r>
      <w:r>
        <w:t xml:space="preserve"> </w:t>
      </w:r>
      <w:r>
        <w:t xml:space="preserve">“</w:t>
      </w:r>
      <w:r>
        <w:t xml:space="preserve">we having the same spirit of faith.</w:t>
      </w:r>
      <w:r>
        <w:t xml:space="preserve">”</w:t>
      </w:r>
      <w:r>
        <w:t xml:space="preserve"> </w:t>
      </w:r>
      <w:r>
        <w:t xml:space="preserve">He then says what he believes: that God raised the Lord Jesus and will raise</w:t>
      </w:r>
      <w:r>
        <w:t xml:space="preserve"> </w:t>
      </w:r>
      <w:r>
        <w:t xml:space="preserve">“</w:t>
      </w:r>
      <w:r>
        <w:t xml:space="preserve">us also by Jesus</w:t>
      </w:r>
      <w:r>
        <w:t xml:space="preserve">”</w:t>
      </w:r>
      <w:r>
        <w:t xml:space="preserve"> </w:t>
      </w:r>
      <w:r>
        <w:t xml:space="preserve">(verse 14). He is saying that the order of the psalm (belief, then speech) is the order of his own ministry. He does not say the psalm is about resurrection.</w:t>
      </w:r>
    </w:p>
    <w:p>
      <w:pPr>
        <w:pStyle w:val="BodyText"/>
      </w:pPr>
      <w:r>
        <w:rPr>
          <w:bCs/>
          <w:b/>
        </w:rPr>
        <w:t xml:space="preserve">Why he uses it here.</w:t>
      </w:r>
      <w:r>
        <w:t xml:space="preserve"> </w:t>
      </w:r>
      <w:r>
        <w:t xml:space="preserve">The verses before are about weakness and death:</w:t>
      </w:r>
      <w:r>
        <w:t xml:space="preserve"> </w:t>
      </w:r>
      <w:r>
        <w:t xml:space="preserve">“</w:t>
      </w:r>
      <w:r>
        <w:t xml:space="preserve">troubled on every side,</w:t>
      </w:r>
      <w:r>
        <w:t xml:space="preserve">”</w:t>
      </w:r>
      <w:r>
        <w:t xml:space="preserve"> </w:t>
      </w:r>
      <w:r>
        <w:t xml:space="preserve">“</w:t>
      </w:r>
      <w:r>
        <w:t xml:space="preserve">cast down,</w:t>
      </w:r>
      <w:r>
        <w:t xml:space="preserve">”</w:t>
      </w:r>
      <w:r>
        <w:t xml:space="preserve"> </w:t>
      </w:r>
      <w:r>
        <w:t xml:space="preserve">“</w:t>
      </w:r>
      <w:r>
        <w:t xml:space="preserve">always bearing about in the body the dying of the Lord Jesus,</w:t>
      </w:r>
      <w:r>
        <w:t xml:space="preserve">”</w:t>
      </w:r>
      <w:r>
        <w:t xml:space="preserve"> </w:t>
      </w:r>
      <w:r>
        <w:t xml:space="preserve">“</w:t>
      </w:r>
      <w:r>
        <w:t xml:space="preserve">death worketh in us</w:t>
      </w:r>
      <w:r>
        <w:t xml:space="preserve">”</w:t>
      </w:r>
      <w:r>
        <w:t xml:space="preserve"> </w:t>
      </w:r>
      <w:r>
        <w:t xml:space="preserve">(verses 8–12). The question is why he speaks at all under such pressure. The psalm gives him a man who spoke while afflicted because he believed. Paul’s speaking comes from the same kind of faith, which keeps speaking in affliction because of what it holds.</w:t>
      </w:r>
    </w:p>
    <w:p>
      <w:pPr>
        <w:pStyle w:val="BodyText"/>
      </w:pPr>
      <w:r>
        <w:rPr>
          <w:bCs/>
          <w:b/>
        </w:rPr>
        <w:t xml:space="preserve">What it does not claim.</w:t>
      </w:r>
      <w:r>
        <w:t xml:space="preserve"> </w:t>
      </w:r>
      <w:r>
        <w:t xml:space="preserve">“</w:t>
      </w:r>
      <w:r>
        <w:t xml:space="preserve">The same spirit of faith</w:t>
      </w:r>
      <w:r>
        <w:t xml:space="preserve">”</w:t>
      </w:r>
      <w:r>
        <w:t xml:space="preserve"> </w:t>
      </w:r>
      <w:r>
        <w:t xml:space="preserve">says the faith is of the same kind. It does not say the content of the faith is the same. The psalmist believed the LORD who had delivered him; Paul believes in the resurrection of the Lord Jesus and of those who are in Him. Paul does not say the psalm foretells him, and he does not put the Corinthians into the psalmist’s covenant.</w:t>
      </w:r>
    </w:p>
    <w:p>
      <w:pPr>
        <w:pStyle w:val="BodyText"/>
      </w:pPr>
      <w:r>
        <w:rPr>
          <w:bCs/>
          <w:b/>
        </w:rPr>
        <w:t xml:space="preserve">What carries the weight.</w:t>
      </w:r>
    </w:p>
    <w:p>
      <w:pPr>
        <w:numPr>
          <w:ilvl w:val="0"/>
          <w:numId w:val="1005"/>
        </w:numPr>
        <w:pStyle w:val="Compact"/>
      </w:pPr>
      <w:r>
        <w:t xml:space="preserve">Paul cites Psalm 116:10 as written and applies its order to his speaking.</w:t>
      </w:r>
      <w:r>
        <w:t xml:space="preserve"> </w:t>
      </w:r>
      <w:r>
        <w:rPr>
          <w:iCs/>
          <w:i/>
        </w:rPr>
        <w:t xml:space="preserve">Stated</w:t>
      </w:r>
      <w:r>
        <w:t xml:space="preserve"> </w:t>
      </w:r>
      <w:r>
        <w:t xml:space="preserve">(verse 13).</w:t>
      </w:r>
    </w:p>
    <w:p>
      <w:pPr>
        <w:numPr>
          <w:ilvl w:val="0"/>
          <w:numId w:val="1005"/>
        </w:numPr>
        <w:pStyle w:val="Compact"/>
      </w:pPr>
      <w:r>
        <w:t xml:space="preserve">The psalm is a thanksgiving by a man delivered from death, speaking while afflicted.</w:t>
      </w:r>
      <w:r>
        <w:t xml:space="preserve"> </w:t>
      </w:r>
      <w:r>
        <w:rPr>
          <w:iCs/>
          <w:i/>
        </w:rPr>
        <w:t xml:space="preserve">Stated</w:t>
      </w:r>
      <w:r>
        <w:t xml:space="preserve"> </w:t>
      </w:r>
      <w:r>
        <w:t xml:space="preserve">(Psalm 116:3–10).</w:t>
      </w:r>
    </w:p>
    <w:p>
      <w:pPr>
        <w:numPr>
          <w:ilvl w:val="0"/>
          <w:numId w:val="1005"/>
        </w:numPr>
        <w:pStyle w:val="Compact"/>
      </w:pPr>
      <w:r>
        <w:t xml:space="preserve">Paul’s faith is placed in the resurrection of the Lord Jesus and of the believers.</w:t>
      </w:r>
      <w:r>
        <w:t xml:space="preserve"> </w:t>
      </w:r>
      <w:r>
        <w:rPr>
          <w:iCs/>
          <w:i/>
        </w:rPr>
        <w:t xml:space="preserve">Stated</w:t>
      </w:r>
      <w:r>
        <w:t xml:space="preserve"> </w:t>
      </w:r>
      <w:r>
        <w:t xml:space="preserve">(verse 14).</w:t>
      </w:r>
    </w:p>
    <w:p>
      <w:pPr>
        <w:numPr>
          <w:ilvl w:val="0"/>
          <w:numId w:val="1005"/>
        </w:numPr>
        <w:pStyle w:val="Compact"/>
      </w:pPr>
      <w:r>
        <w:t xml:space="preserve">The pattern is faith that speaks in affliction.</w:t>
      </w:r>
      <w:r>
        <w:t xml:space="preserve"> </w:t>
      </w:r>
      <w:r>
        <w:rPr>
          <w:iCs/>
          <w:i/>
        </w:rPr>
        <w:t xml:space="preserve">Shown by the context</w:t>
      </w:r>
      <w:r>
        <w:t xml:space="preserve"> </w:t>
      </w:r>
      <w:r>
        <w:t xml:space="preserve">(verses 8–12 set against verse 13).</w:t>
      </w:r>
    </w:p>
    <w:p>
      <w:pPr>
        <w:numPr>
          <w:ilvl w:val="0"/>
          <w:numId w:val="1005"/>
        </w:numPr>
        <w:pStyle w:val="Compact"/>
      </w:pPr>
      <w:r>
        <w:t xml:space="preserve">The kind of faith is shared and the content is not.</w:t>
      </w:r>
      <w:r>
        <w:t xml:space="preserve"> </w:t>
      </w:r>
      <w:r>
        <w:rPr>
          <w:iCs/>
          <w:i/>
        </w:rPr>
        <w:t xml:space="preserve">Inferred.</w:t>
      </w:r>
    </w:p>
    <w:bookmarkEnd w:id="25"/>
    <w:bookmarkStart w:id="26" w:name="john-631-and-psalm-7824-exodus-1615"/>
    <w:p>
      <w:pPr>
        <w:pStyle w:val="Heading1"/>
      </w:pPr>
      <w:r>
        <w:t xml:space="preserve">6. John 6:31 and Psalm 78:24; Exodus 16:15</w:t>
      </w:r>
    </w:p>
    <w:p>
      <w:pPr>
        <w:pStyle w:val="FirstParagraph"/>
      </w:pPr>
      <w:r>
        <w:rPr>
          <w:bCs/>
          <w:b/>
        </w:rPr>
        <w:t xml:space="preserve">The question.</w:t>
      </w:r>
      <w:r>
        <w:t xml:space="preserve"> </w:t>
      </w:r>
      <w:r>
        <w:t xml:space="preserve">Why does the Lord correct the crowd’s use of the manna text?</w:t>
      </w:r>
    </w:p>
    <w:p>
      <w:pPr>
        <w:pStyle w:val="BodyText"/>
      </w:pPr>
      <w:r>
        <w:rPr>
          <w:bCs/>
          <w:b/>
        </w:rPr>
        <w:t xml:space="preserve">The Old Testament passage in its own setting.</w:t>
      </w:r>
      <w:r>
        <w:t xml:space="preserve"> </w:t>
      </w:r>
      <w:r>
        <w:t xml:space="preserve">The manna is first promised in Exodus 16:4:</w:t>
      </w:r>
      <w:r>
        <w:t xml:space="preserve"> </w:t>
      </w:r>
      <w:r>
        <w:t xml:space="preserve">“</w:t>
      </w:r>
      <w:r>
        <w:t xml:space="preserve">Behold, I will rain bread from heaven for you.</w:t>
      </w:r>
      <w:r>
        <w:t xml:space="preserve">”</w:t>
      </w:r>
      <w:r>
        <w:t xml:space="preserve"> </w:t>
      </w:r>
      <w:r>
        <w:t xml:space="preserve">When Israel sees it, Moses says:</w:t>
      </w:r>
      <w:r>
        <w:t xml:space="preserve"> </w:t>
      </w:r>
      <w:r>
        <w:t xml:space="preserve">“</w:t>
      </w:r>
      <w:r>
        <w:t xml:space="preserve">This is the bread which the LORD hath given you to eat</w:t>
      </w:r>
      <w:r>
        <w:t xml:space="preserve">”</w:t>
      </w:r>
      <w:r>
        <w:t xml:space="preserve"> </w:t>
      </w:r>
      <w:r>
        <w:t xml:space="preserve">(verse 15). Psalm 78 recalls it:</w:t>
      </w:r>
      <w:r>
        <w:t xml:space="preserve"> </w:t>
      </w:r>
      <w:r>
        <w:t xml:space="preserve">“</w:t>
      </w:r>
      <w:r>
        <w:t xml:space="preserve">And had rained down manna upon them to eat, and had given them of the corn of heaven</w:t>
      </w:r>
      <w:r>
        <w:t xml:space="preserve">”</w:t>
      </w:r>
      <w:r>
        <w:t xml:space="preserve"> </w:t>
      </w:r>
      <w:r>
        <w:t xml:space="preserve">(verse 24). In both places the giver is the LORD.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Exodus 16:15</w:t>
            </w:r>
          </w:p>
        </w:tc>
        <w:tc>
          <w:tcPr/>
          <w:p>
            <w:pPr>
              <w:pStyle w:val="Compact"/>
              <w:jc w:val="left"/>
            </w:pPr>
            <w:r>
              <w:t xml:space="preserve">“</w:t>
            </w:r>
            <w:r>
              <w:t xml:space="preserve">…Moses said unto them, This is the bread which the LORD hath given you to eat.</w:t>
            </w:r>
            <w:r>
              <w:t xml:space="preserve">”</w:t>
            </w:r>
          </w:p>
        </w:tc>
        <w:tc>
          <w:tcPr/>
          <w:p>
            <w:pPr>
              <w:pStyle w:val="Compact"/>
              <w:jc w:val="left"/>
            </w:pPr>
            <w:r>
              <w:t xml:space="preserve">Moses names the LORD as the giver.</w:t>
            </w:r>
          </w:p>
        </w:tc>
      </w:tr>
      <w:tr>
        <w:tc>
          <w:tcPr/>
          <w:p>
            <w:pPr>
              <w:pStyle w:val="Compact"/>
              <w:jc w:val="left"/>
            </w:pPr>
            <w:r>
              <w:t xml:space="preserve">Psalm 78:24</w:t>
            </w:r>
          </w:p>
        </w:tc>
        <w:tc>
          <w:tcPr/>
          <w:p>
            <w:pPr>
              <w:pStyle w:val="Compact"/>
              <w:jc w:val="left"/>
            </w:pPr>
            <w:r>
              <w:t xml:space="preserve">“</w:t>
            </w:r>
            <w:r>
              <w:t xml:space="preserve">And had rained down manna upon them to eat, and had given them of the corn of heaven.</w:t>
            </w:r>
            <w:r>
              <w:t xml:space="preserve">”</w:t>
            </w:r>
          </w:p>
        </w:tc>
        <w:tc>
          <w:tcPr/>
          <w:p>
            <w:pPr>
              <w:pStyle w:val="Compact"/>
              <w:jc w:val="left"/>
            </w:pPr>
            <w:r>
              <w:t xml:space="preserve">The same giver, in the psalm’s wording.</w:t>
            </w:r>
          </w:p>
        </w:tc>
      </w:tr>
      <w:tr>
        <w:tc>
          <w:tcPr/>
          <w:p>
            <w:pPr>
              <w:pStyle w:val="Compact"/>
              <w:jc w:val="left"/>
            </w:pPr>
            <w:r>
              <w:t xml:space="preserve">John 6:31</w:t>
            </w:r>
          </w:p>
        </w:tc>
        <w:tc>
          <w:tcPr/>
          <w:p>
            <w:pPr>
              <w:pStyle w:val="Compact"/>
              <w:jc w:val="left"/>
            </w:pPr>
            <w:r>
              <w:t xml:space="preserve">“</w:t>
            </w:r>
            <w:r>
              <w:t xml:space="preserve">Our fathers did eat manna in the desert; as it is written, He gave them bread from heaven to eat.</w:t>
            </w:r>
            <w:r>
              <w:t xml:space="preserve">”</w:t>
            </w:r>
          </w:p>
        </w:tc>
        <w:tc>
          <w:tcPr/>
          <w:p>
            <w:pPr>
              <w:pStyle w:val="Compact"/>
              <w:jc w:val="left"/>
            </w:pPr>
            <w:r>
              <w:t xml:space="preserve">The crowd’s line, with</w:t>
            </w:r>
            <w:r>
              <w:t xml:space="preserve"> </w:t>
            </w:r>
            <w:r>
              <w:t xml:space="preserve">“</w:t>
            </w:r>
            <w:r>
              <w:t xml:space="preserve">He</w:t>
            </w:r>
            <w:r>
              <w:t xml:space="preserve">”</w:t>
            </w:r>
            <w:r>
              <w:t xml:space="preserve"> </w:t>
            </w:r>
            <w:r>
              <w:t xml:space="preserve">and no name.</w:t>
            </w:r>
          </w:p>
        </w:tc>
      </w:tr>
      <w:tr>
        <w:tc>
          <w:tcPr/>
          <w:p>
            <w:pPr>
              <w:pStyle w:val="Compact"/>
              <w:jc w:val="left"/>
            </w:pPr>
            <w:r>
              <w:t xml:space="preserve">John 6:32</w:t>
            </w:r>
          </w:p>
        </w:tc>
        <w:tc>
          <w:tcPr/>
          <w:p>
            <w:pPr>
              <w:pStyle w:val="Compact"/>
              <w:jc w:val="left"/>
            </w:pPr>
            <w:r>
              <w:t xml:space="preserve">“</w:t>
            </w:r>
            <w:r>
              <w:t xml:space="preserve">…Moses gave you not that bread from heaven; but my Father giveth you the true bread from heaven.</w:t>
            </w:r>
            <w:r>
              <w:t xml:space="preserve">”</w:t>
            </w:r>
          </w:p>
        </w:tc>
        <w:tc>
          <w:tcPr/>
          <w:p>
            <w:pPr>
              <w:pStyle w:val="Compact"/>
              <w:jc w:val="left"/>
            </w:pPr>
            <w:r>
              <w:t xml:space="preserve">The Lord’s correction of giver, time and kind.</w:t>
            </w:r>
          </w:p>
        </w:tc>
      </w:tr>
    </w:tbl>
    <w:p>
      <w:pPr>
        <w:pStyle w:val="BodyText"/>
      </w:pPr>
      <w:r>
        <w:rPr>
          <w:bCs/>
          <w:b/>
        </w:rPr>
        <w:t xml:space="preserve">What the crowd does.</w:t>
      </w:r>
      <w:r>
        <w:t xml:space="preserve"> </w:t>
      </w:r>
      <w:r>
        <w:t xml:space="preserve">They have asked for a sign:</w:t>
      </w:r>
      <w:r>
        <w:t xml:space="preserve"> </w:t>
      </w:r>
      <w:r>
        <w:t xml:space="preserve">“</w:t>
      </w:r>
      <w:r>
        <w:t xml:space="preserve">What sign shewest thou then, that we may see, and believe thee?</w:t>
      </w:r>
      <w:r>
        <w:t xml:space="preserve">”</w:t>
      </w:r>
      <w:r>
        <w:t xml:space="preserve"> </w:t>
      </w:r>
      <w:r>
        <w:t xml:space="preserve">(verse 30). They then point to the manna and cite what is written:</w:t>
      </w:r>
      <w:r>
        <w:t xml:space="preserve"> </w:t>
      </w:r>
      <w:r>
        <w:t xml:space="preserve">“</w:t>
      </w:r>
      <w:r>
        <w:t xml:space="preserve">He gave them bread from heaven to eat.</w:t>
      </w:r>
      <w:r>
        <w:t xml:space="preserve">”</w:t>
      </w:r>
      <w:r>
        <w:t xml:space="preserve"> </w:t>
      </w:r>
      <w:r>
        <w:t xml:space="preserve">The line matches no single verse word for word; it draws on the manna passages in Exodus and the Psalms. The point of the citation is to set Moses’ sign above His.</w:t>
      </w:r>
    </w:p>
    <w:p>
      <w:pPr>
        <w:pStyle w:val="BodyText"/>
      </w:pPr>
      <w:r>
        <w:rPr>
          <w:bCs/>
          <w:b/>
        </w:rPr>
        <w:t xml:space="preserve">What the Lord does.</w:t>
      </w:r>
      <w:r>
        <w:t xml:space="preserve"> </w:t>
      </w:r>
      <w:r>
        <w:t xml:space="preserve">He does not dispute the text. He corrects what the crowd has made of it.</w:t>
      </w:r>
      <w:r>
        <w:t xml:space="preserve"> </w:t>
      </w:r>
      <w:r>
        <w:t xml:space="preserve">“</w:t>
      </w:r>
      <w:r>
        <w:t xml:space="preserve">Moses gave you not that bread from heaven.</w:t>
      </w:r>
      <w:r>
        <w:t xml:space="preserve">”</w:t>
      </w:r>
      <w:r>
        <w:t xml:space="preserve"> </w:t>
      </w:r>
      <w:r>
        <w:t xml:space="preserve">The giver in the Old Testament was God, as Exodus 16:15 itself says. He then changes the tense,</w:t>
      </w:r>
      <w:r>
        <w:t xml:space="preserve"> </w:t>
      </w:r>
      <w:r>
        <w:t xml:space="preserve">“</w:t>
      </w:r>
      <w:r>
        <w:t xml:space="preserve">my Father giveth,</w:t>
      </w:r>
      <w:r>
        <w:t xml:space="preserve">”</w:t>
      </w:r>
      <w:r>
        <w:t xml:space="preserve"> </w:t>
      </w:r>
      <w:r>
        <w:t xml:space="preserve">and the kind,</w:t>
      </w:r>
      <w:r>
        <w:t xml:space="preserve"> </w:t>
      </w:r>
      <w:r>
        <w:t xml:space="preserve">“</w:t>
      </w:r>
      <w:r>
        <w:t xml:space="preserve">the true bread.</w:t>
      </w:r>
      <w:r>
        <w:t xml:space="preserve">”</w:t>
      </w:r>
      <w:r>
        <w:t xml:space="preserve"> </w:t>
      </w:r>
      <w:r>
        <w:t xml:space="preserve">In verse 35 He says,</w:t>
      </w:r>
      <w:r>
        <w:t xml:space="preserve"> </w:t>
      </w:r>
      <w:r>
        <w:t xml:space="preserve">“</w:t>
      </w:r>
      <w:r>
        <w:t xml:space="preserve">I am the bread of life.</w:t>
      </w:r>
      <w:r>
        <w:t xml:space="preserve">”</w:t>
      </w:r>
    </w:p>
    <w:p>
      <w:pPr>
        <w:pStyle w:val="BodyText"/>
      </w:pPr>
      <w:r>
        <w:rPr>
          <w:bCs/>
          <w:b/>
        </w:rPr>
        <w:t xml:space="preserve">Why here.</w:t>
      </w:r>
      <w:r>
        <w:t xml:space="preserve"> </w:t>
      </w:r>
      <w:r>
        <w:t xml:space="preserve">The crowd had been fed the day before (John 6:1–14) and now ask for a greater sign than that. The Lord turns the question: the manna was a gift from God and not a work of Moses, and the true bread is the one now given by the same Father. The citation of the manna, brought as a challenge, is the occasion for the Lord to say who is before them.</w:t>
      </w:r>
    </w:p>
    <w:p>
      <w:pPr>
        <w:pStyle w:val="BodyText"/>
      </w:pPr>
      <w:r>
        <w:rPr>
          <w:bCs/>
          <w:b/>
        </w:rPr>
        <w:t xml:space="preserve">What it does not claim.</w:t>
      </w:r>
      <w:r>
        <w:t xml:space="preserve"> </w:t>
      </w:r>
      <w:r>
        <w:t xml:space="preserve">The Lord does not say the manna was a prediction of Himself in Exodus. He does not say the manna was false bread; He says the bread now given is the true one. He is speaking in Capernaum to a crowd of Israel, in Israel’s line. The passage that goes on into eating His flesh (verses 51–58) is a separate question.</w:t>
      </w:r>
    </w:p>
    <w:p>
      <w:pPr>
        <w:pStyle w:val="BodyText"/>
      </w:pPr>
      <w:r>
        <w:rPr>
          <w:bCs/>
          <w:b/>
        </w:rPr>
        <w:t xml:space="preserve">What carries the weight.</w:t>
      </w:r>
    </w:p>
    <w:p>
      <w:pPr>
        <w:numPr>
          <w:ilvl w:val="0"/>
          <w:numId w:val="1006"/>
        </w:numPr>
        <w:pStyle w:val="Compact"/>
      </w:pPr>
      <w:r>
        <w:t xml:space="preserve">The crowd cites the manna from the Old Testament as a sign of Moses.</w:t>
      </w:r>
      <w:r>
        <w:t xml:space="preserve"> </w:t>
      </w:r>
      <w:r>
        <w:rPr>
          <w:iCs/>
          <w:i/>
        </w:rPr>
        <w:t xml:space="preserve">Stated</w:t>
      </w:r>
      <w:r>
        <w:t xml:space="preserve"> </w:t>
      </w:r>
      <w:r>
        <w:t xml:space="preserve">(verses 30–31).</w:t>
      </w:r>
    </w:p>
    <w:p>
      <w:pPr>
        <w:numPr>
          <w:ilvl w:val="0"/>
          <w:numId w:val="1006"/>
        </w:numPr>
        <w:pStyle w:val="Compact"/>
      </w:pPr>
      <w:r>
        <w:t xml:space="preserve">Exodus 16:15 itself names the LORD as the giver.</w:t>
      </w:r>
      <w:r>
        <w:t xml:space="preserve"> </w:t>
      </w:r>
      <w:r>
        <w:rPr>
          <w:iCs/>
          <w:i/>
        </w:rPr>
        <w:t xml:space="preserve">Stated.</w:t>
      </w:r>
    </w:p>
    <w:p>
      <w:pPr>
        <w:numPr>
          <w:ilvl w:val="0"/>
          <w:numId w:val="1006"/>
        </w:numPr>
        <w:pStyle w:val="Compact"/>
      </w:pPr>
      <w:r>
        <w:t xml:space="preserve">The Lord corrects giver, time and kind.</w:t>
      </w:r>
      <w:r>
        <w:t xml:space="preserve"> </w:t>
      </w:r>
      <w:r>
        <w:rPr>
          <w:iCs/>
          <w:i/>
        </w:rPr>
        <w:t xml:space="preserve">Stated</w:t>
      </w:r>
      <w:r>
        <w:t xml:space="preserve"> </w:t>
      </w:r>
      <w:r>
        <w:t xml:space="preserve">(verse 32).</w:t>
      </w:r>
    </w:p>
    <w:p>
      <w:pPr>
        <w:numPr>
          <w:ilvl w:val="0"/>
          <w:numId w:val="1006"/>
        </w:numPr>
        <w:pStyle w:val="Compact"/>
      </w:pPr>
      <w:r>
        <w:t xml:space="preserve">The Lord’s correction agrees with Exodus rather than against it.</w:t>
      </w:r>
      <w:r>
        <w:t xml:space="preserve"> </w:t>
      </w:r>
      <w:r>
        <w:rPr>
          <w:iCs/>
          <w:i/>
        </w:rPr>
        <w:t xml:space="preserve">Shown by the context.</w:t>
      </w:r>
    </w:p>
    <w:p>
      <w:pPr>
        <w:numPr>
          <w:ilvl w:val="0"/>
          <w:numId w:val="1006"/>
        </w:numPr>
        <w:pStyle w:val="Compact"/>
      </w:pPr>
      <w:r>
        <w:t xml:space="preserve">The crowd’s line draws on more than one Old Testament passage.</w:t>
      </w:r>
      <w:r>
        <w:t xml:space="preserve"> </w:t>
      </w:r>
      <w:r>
        <w:rPr>
          <w:iCs/>
          <w:i/>
        </w:rPr>
        <w:t xml:space="preserve">Shown by the context</w:t>
      </w:r>
      <w:r>
        <w:t xml:space="preserve"> </w:t>
      </w:r>
      <w:r>
        <w:t xml:space="preserve">(Exodus 16; Psalm 78).</w:t>
      </w:r>
    </w:p>
    <w:bookmarkEnd w:id="26"/>
    <w:bookmarkStart w:id="27" w:name="john-645-and-isaiah-5413"/>
    <w:p>
      <w:pPr>
        <w:pStyle w:val="Heading1"/>
      </w:pPr>
      <w:r>
        <w:t xml:space="preserve">7. John 6:45 and Isaiah 54:13</w:t>
      </w:r>
    </w:p>
    <w:p>
      <w:pPr>
        <w:pStyle w:val="FirstParagraph"/>
      </w:pPr>
      <w:r>
        <w:rPr>
          <w:bCs/>
          <w:b/>
        </w:rPr>
        <w:t xml:space="preserve">The question.</w:t>
      </w:r>
      <w:r>
        <w:t xml:space="preserve"> </w:t>
      </w:r>
      <w:r>
        <w:t xml:space="preserve">Why does the Lord quote a promise about Zion’s children to the people who murmured at Capernaum?</w:t>
      </w:r>
    </w:p>
    <w:p>
      <w:pPr>
        <w:pStyle w:val="BodyText"/>
      </w:pPr>
      <w:r>
        <w:rPr>
          <w:bCs/>
          <w:b/>
        </w:rPr>
        <w:t xml:space="preserve">The Old Testament passage in its own setting.</w:t>
      </w:r>
      <w:r>
        <w:t xml:space="preserve"> </w:t>
      </w:r>
      <w:r>
        <w:t xml:space="preserve">Isaiah 54 is addressed to Zion, the barren one who is told to sing (verse 1). The LORD promises to rebuild her with fair colours and sapphires (verses 11–12) and then:</w:t>
      </w:r>
      <w:r>
        <w:t xml:space="preserve"> </w:t>
      </w:r>
      <w:r>
        <w:t xml:space="preserve">“</w:t>
      </w:r>
      <w:r>
        <w:t xml:space="preserve">And all thy children shall be taught of the LORD; and great shall be the peace of thy children</w:t>
      </w:r>
      <w:r>
        <w:t xml:space="preserve">”</w:t>
      </w:r>
      <w:r>
        <w:t xml:space="preserve"> </w:t>
      </w:r>
      <w:r>
        <w:t xml:space="preserve">(verse 13). The promise is to Israel, to restored Zion’s children.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Verse</w:t>
            </w:r>
          </w:p>
        </w:tc>
        <w:tc>
          <w:tcPr/>
          <w:p>
            <w:pPr>
              <w:pStyle w:val="Compact"/>
              <w:jc w:val="left"/>
            </w:pPr>
            <w:r>
              <w:t xml:space="preserve">KJV text</w:t>
            </w:r>
          </w:p>
        </w:tc>
        <w:tc>
          <w:tcPr/>
          <w:p>
            <w:pPr>
              <w:pStyle w:val="Compact"/>
              <w:jc w:val="left"/>
            </w:pPr>
            <w:r>
              <w:t xml:space="preserve">What to observe</w:t>
            </w:r>
          </w:p>
        </w:tc>
      </w:tr>
      <w:tr>
        <w:tc>
          <w:tcPr/>
          <w:p>
            <w:pPr>
              <w:pStyle w:val="Compact"/>
              <w:jc w:val="left"/>
            </w:pPr>
            <w:r>
              <w:t xml:space="preserve">Isaiah 54:13</w:t>
            </w:r>
          </w:p>
        </w:tc>
        <w:tc>
          <w:tcPr/>
          <w:p>
            <w:pPr>
              <w:pStyle w:val="Compact"/>
              <w:jc w:val="left"/>
            </w:pPr>
            <w:r>
              <w:t xml:space="preserve">“</w:t>
            </w:r>
            <w:r>
              <w:t xml:space="preserve">And all thy children shall be taught of the LORD; and great shall be the peace of thy children.</w:t>
            </w:r>
            <w:r>
              <w:t xml:space="preserve">”</w:t>
            </w:r>
          </w:p>
        </w:tc>
        <w:tc>
          <w:tcPr/>
          <w:p>
            <w:pPr>
              <w:pStyle w:val="Compact"/>
              <w:jc w:val="left"/>
            </w:pPr>
            <w:r>
              <w:t xml:space="preserve">Zion’s children, taught by the LORD.</w:t>
            </w:r>
          </w:p>
        </w:tc>
      </w:tr>
      <w:tr>
        <w:tc>
          <w:tcPr/>
          <w:p>
            <w:pPr>
              <w:pStyle w:val="Compact"/>
              <w:jc w:val="left"/>
            </w:pPr>
            <w:r>
              <w:t xml:space="preserve">John 6:44</w:t>
            </w:r>
          </w:p>
        </w:tc>
        <w:tc>
          <w:tcPr/>
          <w:p>
            <w:pPr>
              <w:pStyle w:val="Compact"/>
              <w:jc w:val="left"/>
            </w:pPr>
            <w:r>
              <w:t xml:space="preserve">“</w:t>
            </w:r>
            <w:r>
              <w:t xml:space="preserve">No man can come to me, except the Father which hath sent me draw him: and I will raise him up at the last day.</w:t>
            </w:r>
            <w:r>
              <w:t xml:space="preserve">”</w:t>
            </w:r>
          </w:p>
        </w:tc>
        <w:tc>
          <w:tcPr/>
          <w:p>
            <w:pPr>
              <w:pStyle w:val="Compact"/>
              <w:jc w:val="left"/>
            </w:pPr>
            <w:r>
              <w:t xml:space="preserve">The statement the quotation supports.</w:t>
            </w:r>
          </w:p>
        </w:tc>
      </w:tr>
      <w:tr>
        <w:tc>
          <w:tcPr/>
          <w:p>
            <w:pPr>
              <w:pStyle w:val="Compact"/>
              <w:jc w:val="left"/>
            </w:pPr>
            <w:r>
              <w:t xml:space="preserve">John 6:45</w:t>
            </w:r>
          </w:p>
        </w:tc>
        <w:tc>
          <w:tcPr/>
          <w:p>
            <w:pPr>
              <w:pStyle w:val="Compact"/>
              <w:jc w:val="left"/>
            </w:pPr>
            <w:r>
              <w:t xml:space="preserve">“</w:t>
            </w:r>
            <w:r>
              <w:t xml:space="preserve">It is written in the prophets, And they shall be all taught of God. Every man therefore that hath heard, and hath learned of the Father, cometh unto me.</w:t>
            </w:r>
            <w:r>
              <w:t xml:space="preserve">”</w:t>
            </w:r>
          </w:p>
        </w:tc>
        <w:tc>
          <w:tcPr/>
          <w:p>
            <w:pPr>
              <w:pStyle w:val="Compact"/>
              <w:jc w:val="left"/>
            </w:pPr>
            <w:r>
              <w:t xml:space="preserve">A shortened line, with</w:t>
            </w:r>
            <w:r>
              <w:t xml:space="preserve"> </w:t>
            </w:r>
            <w:r>
              <w:t xml:space="preserve">“</w:t>
            </w:r>
            <w:r>
              <w:t xml:space="preserve">God</w:t>
            </w:r>
            <w:r>
              <w:t xml:space="preserve">”</w:t>
            </w:r>
            <w:r>
              <w:t xml:space="preserve"> </w:t>
            </w:r>
            <w:r>
              <w:t xml:space="preserve">for</w:t>
            </w:r>
            <w:r>
              <w:t xml:space="preserve"> </w:t>
            </w:r>
            <w:r>
              <w:t xml:space="preserve">“</w:t>
            </w:r>
            <w:r>
              <w:t xml:space="preserve">the LORD</w:t>
            </w:r>
            <w:r>
              <w:t xml:space="preserve">”</w:t>
            </w:r>
            <w:r>
              <w:t xml:space="preserve"> </w:t>
            </w:r>
            <w:r>
              <w:t xml:space="preserve">and</w:t>
            </w:r>
            <w:r>
              <w:t xml:space="preserve"> </w:t>
            </w:r>
            <w:r>
              <w:t xml:space="preserve">“</w:t>
            </w:r>
            <w:r>
              <w:t xml:space="preserve">they</w:t>
            </w:r>
            <w:r>
              <w:t xml:space="preserve">”</w:t>
            </w:r>
            <w:r>
              <w:t xml:space="preserve"> </w:t>
            </w:r>
            <w:r>
              <w:t xml:space="preserve">for</w:t>
            </w:r>
            <w:r>
              <w:t xml:space="preserve"> </w:t>
            </w:r>
            <w:r>
              <w:t xml:space="preserve">“</w:t>
            </w:r>
            <w:r>
              <w:t xml:space="preserve">thy children.</w:t>
            </w:r>
            <w:r>
              <w:t xml:space="preserve">”</w:t>
            </w:r>
          </w:p>
        </w:tc>
      </w:tr>
    </w:tbl>
    <w:p>
      <w:pPr>
        <w:pStyle w:val="BodyText"/>
      </w:pPr>
      <w:r>
        <w:rPr>
          <w:bCs/>
          <w:b/>
        </w:rPr>
        <w:t xml:space="preserve">What the Lord does.</w:t>
      </w:r>
      <w:r>
        <w:t xml:space="preserve"> </w:t>
      </w:r>
      <w:r>
        <w:t xml:space="preserve">He introduces the line with</w:t>
      </w:r>
      <w:r>
        <w:t xml:space="preserve"> </w:t>
      </w:r>
      <w:r>
        <w:t xml:space="preserve">“</w:t>
      </w:r>
      <w:r>
        <w:t xml:space="preserve">It is written in the prophets,</w:t>
      </w:r>
      <w:r>
        <w:t xml:space="preserve">”</w:t>
      </w:r>
      <w:r>
        <w:t xml:space="preserve"> </w:t>
      </w:r>
      <w:r>
        <w:t xml:space="preserve">which names the prophetic books as a whole and does not name Isaiah. He quotes it in a shortened and adjusted form.</w:t>
      </w:r>
      <w:r>
        <w:t xml:space="preserve"> </w:t>
      </w:r>
      <w:r>
        <w:t xml:space="preserve">“</w:t>
      </w:r>
      <w:r>
        <w:t xml:space="preserve">All thy children</w:t>
      </w:r>
      <w:r>
        <w:t xml:space="preserve">”</w:t>
      </w:r>
      <w:r>
        <w:t xml:space="preserve"> </w:t>
      </w:r>
      <w:r>
        <w:t xml:space="preserve">becomes</w:t>
      </w:r>
      <w:r>
        <w:t xml:space="preserve"> </w:t>
      </w:r>
      <w:r>
        <w:t xml:space="preserve">“</w:t>
      </w:r>
      <w:r>
        <w:t xml:space="preserve">they,</w:t>
      </w:r>
      <w:r>
        <w:t xml:space="preserve">”</w:t>
      </w:r>
      <w:r>
        <w:t xml:space="preserve"> </w:t>
      </w:r>
      <w:r>
        <w:t xml:space="preserve">“</w:t>
      </w:r>
      <w:r>
        <w:t xml:space="preserve">the LORD</w:t>
      </w:r>
      <w:r>
        <w:t xml:space="preserve">”</w:t>
      </w:r>
      <w:r>
        <w:t xml:space="preserve"> </w:t>
      </w:r>
      <w:r>
        <w:t xml:space="preserve">becomes</w:t>
      </w:r>
      <w:r>
        <w:t xml:space="preserve"> </w:t>
      </w:r>
      <w:r>
        <w:t xml:space="preserve">“</w:t>
      </w:r>
      <w:r>
        <w:t xml:space="preserve">God,</w:t>
      </w:r>
      <w:r>
        <w:t xml:space="preserve">”</w:t>
      </w:r>
      <w:r>
        <w:t xml:space="preserve"> </w:t>
      </w:r>
      <w:r>
        <w:t xml:space="preserve">and the promise of peace is left out. He then draws a conclusion of His own from it:</w:t>
      </w:r>
      <w:r>
        <w:t xml:space="preserve"> </w:t>
      </w:r>
      <w:r>
        <w:t xml:space="preserve">“</w:t>
      </w:r>
      <w:r>
        <w:t xml:space="preserve">Every man therefore that hath heard, and hath learned of the Father, cometh unto me.</w:t>
      </w:r>
      <w:r>
        <w:t xml:space="preserve">”</w:t>
      </w:r>
    </w:p>
    <w:p>
      <w:pPr>
        <w:pStyle w:val="BodyText"/>
      </w:pPr>
      <w:r>
        <w:rPr>
          <w:bCs/>
          <w:b/>
        </w:rPr>
        <w:t xml:space="preserve">Why here.</w:t>
      </w:r>
      <w:r>
        <w:t xml:space="preserve"> </w:t>
      </w:r>
      <w:r>
        <w:t xml:space="preserve">The Jews had murmured because He said,</w:t>
      </w:r>
      <w:r>
        <w:t xml:space="preserve"> </w:t>
      </w:r>
      <w:r>
        <w:t xml:space="preserve">“</w:t>
      </w:r>
      <w:r>
        <w:t xml:space="preserve">I am the bread which came down from heaven,</w:t>
      </w:r>
      <w:r>
        <w:t xml:space="preserve">”</w:t>
      </w:r>
      <w:r>
        <w:t xml:space="preserve"> </w:t>
      </w:r>
      <w:r>
        <w:t xml:space="preserve">and they said,</w:t>
      </w:r>
      <w:r>
        <w:t xml:space="preserve"> </w:t>
      </w:r>
      <w:r>
        <w:t xml:space="preserve">“</w:t>
      </w:r>
      <w:r>
        <w:t xml:space="preserve">Is not this Jesus, the son of Joseph?</w:t>
      </w:r>
      <w:r>
        <w:t xml:space="preserve">”</w:t>
      </w:r>
      <w:r>
        <w:t xml:space="preserve"> </w:t>
      </w:r>
      <w:r>
        <w:t xml:space="preserve">(verses 41–42). He tells them to stop murmuring and says that no man can come unless the Father draw him (verse 44). Isaiah 54:13 is the written ground. The promise was that Zion’s children would be taught by God, and the Lord says that teaching is happening: those who have learned of the Father come to Him. Their murmuring shows they have not.</w:t>
      </w:r>
    </w:p>
    <w:p>
      <w:pPr>
        <w:pStyle w:val="BodyText"/>
      </w:pPr>
      <w:r>
        <w:rPr>
          <w:bCs/>
          <w:b/>
        </w:rPr>
        <w:t xml:space="preserve">What it does not claim.</w:t>
      </w:r>
      <w:r>
        <w:t xml:space="preserve"> </w:t>
      </w:r>
      <w:r>
        <w:t xml:space="preserve">He does not say that every person is taught or that any person is shut out; He speaks of</w:t>
      </w:r>
      <w:r>
        <w:t xml:space="preserve"> </w:t>
      </w:r>
      <w:r>
        <w:t xml:space="preserve">“</w:t>
      </w:r>
      <w:r>
        <w:t xml:space="preserve">every man</w:t>
      </w:r>
      <w:r>
        <w:t xml:space="preserve">”</w:t>
      </w:r>
      <w:r>
        <w:t xml:space="preserve"> </w:t>
      </w:r>
      <w:r>
        <w:t xml:space="preserve">who has heard and learned. He does not say that Isaiah 54 is about the Body; it is addressed to Zion. He also does not leave Israel’s promise behind: the people taught by God are those in Zion’s line who come to Him. And He does not say what</w:t>
      </w:r>
      <w:r>
        <w:t xml:space="preserve"> </w:t>
      </w:r>
      <w:r>
        <w:t xml:space="preserve">“</w:t>
      </w:r>
      <w:r>
        <w:t xml:space="preserve">draw</w:t>
      </w:r>
      <w:r>
        <w:t xml:space="preserve">”</w:t>
      </w:r>
      <w:r>
        <w:t xml:space="preserve"> </w:t>
      </w:r>
      <w:r>
        <w:t xml:space="preserve">means beyond what verse 45 says it is: hearing and learning of the Father.</w:t>
      </w:r>
    </w:p>
    <w:p>
      <w:pPr>
        <w:pStyle w:val="BodyText"/>
      </w:pPr>
      <w:r>
        <w:rPr>
          <w:bCs/>
          <w:b/>
        </w:rPr>
        <w:t xml:space="preserve">What carries the weight.</w:t>
      </w:r>
    </w:p>
    <w:p>
      <w:pPr>
        <w:numPr>
          <w:ilvl w:val="0"/>
          <w:numId w:val="1007"/>
        </w:numPr>
        <w:pStyle w:val="Compact"/>
      </w:pPr>
      <w:r>
        <w:t xml:space="preserve">The Lord quotes the promise</w:t>
      </w:r>
      <w:r>
        <w:t xml:space="preserve"> </w:t>
      </w:r>
      <w:r>
        <w:t xml:space="preserve">“</w:t>
      </w:r>
      <w:r>
        <w:t xml:space="preserve">taught of God</w:t>
      </w:r>
      <w:r>
        <w:t xml:space="preserve">”</w:t>
      </w:r>
      <w:r>
        <w:t xml:space="preserve"> </w:t>
      </w:r>
      <w:r>
        <w:t xml:space="preserve">as written in the prophets.</w:t>
      </w:r>
      <w:r>
        <w:t xml:space="preserve"> </w:t>
      </w:r>
      <w:r>
        <w:rPr>
          <w:iCs/>
          <w:i/>
        </w:rPr>
        <w:t xml:space="preserve">Stated</w:t>
      </w:r>
      <w:r>
        <w:t xml:space="preserve"> </w:t>
      </w:r>
      <w:r>
        <w:t xml:space="preserve">(verse 45).</w:t>
      </w:r>
    </w:p>
    <w:p>
      <w:pPr>
        <w:numPr>
          <w:ilvl w:val="0"/>
          <w:numId w:val="1007"/>
        </w:numPr>
        <w:pStyle w:val="Compact"/>
      </w:pPr>
      <w:r>
        <w:t xml:space="preserve">The promise is to Zion’s children, in a chapter about her rebuilding.</w:t>
      </w:r>
      <w:r>
        <w:t xml:space="preserve"> </w:t>
      </w:r>
      <w:r>
        <w:rPr>
          <w:iCs/>
          <w:i/>
        </w:rPr>
        <w:t xml:space="preserve">Stated</w:t>
      </w:r>
      <w:r>
        <w:t xml:space="preserve"> </w:t>
      </w:r>
      <w:r>
        <w:t xml:space="preserve">(Isaiah 54:1, 11–13).</w:t>
      </w:r>
    </w:p>
    <w:p>
      <w:pPr>
        <w:numPr>
          <w:ilvl w:val="0"/>
          <w:numId w:val="1007"/>
        </w:numPr>
        <w:pStyle w:val="Compact"/>
      </w:pPr>
      <w:r>
        <w:t xml:space="preserve">The Lord adjusts the wording to the occasion.</w:t>
      </w:r>
      <w:r>
        <w:t xml:space="preserve"> </w:t>
      </w:r>
      <w:r>
        <w:rPr>
          <w:iCs/>
          <w:i/>
        </w:rPr>
        <w:t xml:space="preserve">Shown by the context</w:t>
      </w:r>
      <w:r>
        <w:t xml:space="preserve"> </w:t>
      </w:r>
      <w:r>
        <w:t xml:space="preserve">(compare Isaiah 54:13).</w:t>
      </w:r>
    </w:p>
    <w:p>
      <w:pPr>
        <w:numPr>
          <w:ilvl w:val="0"/>
          <w:numId w:val="1007"/>
        </w:numPr>
        <w:pStyle w:val="Compact"/>
      </w:pPr>
      <w:r>
        <w:t xml:space="preserve">The Lord uses the promise to explain why some come and some murmur.</w:t>
      </w:r>
      <w:r>
        <w:t xml:space="preserve"> </w:t>
      </w:r>
      <w:r>
        <w:rPr>
          <w:iCs/>
          <w:i/>
        </w:rPr>
        <w:t xml:space="preserve">Shown by the context</w:t>
      </w:r>
      <w:r>
        <w:t xml:space="preserve"> </w:t>
      </w:r>
      <w:r>
        <w:t xml:space="preserve">(verses 41–45).</w:t>
      </w:r>
    </w:p>
    <w:p>
      <w:pPr>
        <w:numPr>
          <w:ilvl w:val="0"/>
          <w:numId w:val="1007"/>
        </w:numPr>
        <w:pStyle w:val="Compact"/>
      </w:pPr>
      <w:r>
        <w:t xml:space="preserve">The coming of those who have learned of the Father is the beginning of the fulfilment of Isaiah’s promise.</w:t>
      </w:r>
      <w:r>
        <w:t xml:space="preserve"> </w:t>
      </w:r>
      <w:r>
        <w:rPr>
          <w:iCs/>
          <w:i/>
        </w:rPr>
        <w:t xml:space="preserve">Inferred.</w:t>
      </w:r>
    </w:p>
    <w:bookmarkEnd w:id="27"/>
    <w:bookmarkStart w:id="28" w:name="for-the-publisher-not-reader-text"/>
    <w:p>
      <w:pPr>
        <w:pStyle w:val="Heading1"/>
      </w:pPr>
      <w:r>
        <w:t xml:space="preserve">For the publisher (not reader text)</w:t>
      </w:r>
    </w:p>
    <w:p>
      <w:pPr>
        <w:pStyle w:val="FirstParagraph"/>
      </w:pPr>
      <w:r>
        <w:rPr>
          <w:bCs/>
          <w:b/>
        </w:rPr>
        <w:t xml:space="preserve">Settled by the existing rulings</w:t>
      </w:r>
    </w:p>
    <w:p>
      <w:pPr>
        <w:numPr>
          <w:ilvl w:val="0"/>
          <w:numId w:val="1008"/>
        </w:numPr>
        <w:pStyle w:val="Compact"/>
      </w:pPr>
      <w:r>
        <w:t xml:space="preserve">Jude stands in Israel’s line (Section 1 of the Jude companion). The entries on Jude 9 and 14–15 say so once and do not apply either entry to the Body.</w:t>
      </w:r>
    </w:p>
    <w:p>
      <w:pPr>
        <w:numPr>
          <w:ilvl w:val="0"/>
          <w:numId w:val="1008"/>
        </w:numPr>
        <w:pStyle w:val="Compact"/>
      </w:pPr>
      <w:r>
        <w:t xml:space="preserve">Mark 10 and John 6 are spoken to Israel while the law stood, and are read there.</w:t>
      </w:r>
    </w:p>
    <w:p>
      <w:pPr>
        <w:numPr>
          <w:ilvl w:val="0"/>
          <w:numId w:val="1008"/>
        </w:numPr>
        <w:pStyle w:val="Compact"/>
      </w:pPr>
      <w:r>
        <w:t xml:space="preserve">1 Corinthians 6:16 is spoken to the Body; the entry says Paul uses a creation statement that comes before the law, and does not put the Body under Moses or into Israel’s covenants.</w:t>
      </w:r>
    </w:p>
    <w:p>
      <w:pPr>
        <w:numPr>
          <w:ilvl w:val="0"/>
          <w:numId w:val="1008"/>
        </w:numPr>
        <w:pStyle w:val="Compact"/>
      </w:pPr>
      <w:r>
        <w:t xml:space="preserve">2 Corinthians 4:13: shared faith in kind, not shared content of faith (the ground-of-salvation ruling).</w:t>
      </w:r>
    </w:p>
    <w:p>
      <w:pPr>
        <w:pStyle w:val="FirstParagraph"/>
      </w:pPr>
      <w:r>
        <w:rPr>
          <w:bCs/>
          <w:b/>
        </w:rPr>
        <w:t xml:space="preserve">Needs your eye (my reading, no ruling covers it)</w:t>
      </w:r>
    </w:p>
    <w:p>
      <w:pPr>
        <w:numPr>
          <w:ilvl w:val="0"/>
          <w:numId w:val="1009"/>
        </w:numPr>
        <w:pStyle w:val="Compact"/>
      </w:pPr>
      <w:r>
        <w:rPr>
          <w:bCs/>
          <w:b/>
        </w:rPr>
        <w:t xml:space="preserve">Jude 9: where Jude learned of the dispute.</w:t>
      </w:r>
      <w:r>
        <w:t xml:space="preserve"> </w:t>
      </w:r>
      <w:r>
        <w:t xml:space="preserve">The entry leaves it open (</w:t>
      </w:r>
      <w:r>
        <w:t xml:space="preserve">“</w:t>
      </w:r>
      <w:r>
        <w:t xml:space="preserve">by revelation or by an older account</w:t>
      </w:r>
      <w:r>
        <w:t xml:space="preserve">”</w:t>
      </w:r>
      <w:r>
        <w:t xml:space="preserve">). If you want a position, say which. I did not name an older writing, because I have not read one in full.</w:t>
      </w:r>
    </w:p>
    <w:p>
      <w:pPr>
        <w:numPr>
          <w:ilvl w:val="0"/>
          <w:numId w:val="1009"/>
        </w:numPr>
        <w:pStyle w:val="Compact"/>
      </w:pPr>
      <w:r>
        <w:rPr>
          <w:bCs/>
          <w:b/>
        </w:rPr>
        <w:t xml:space="preserve">Jude 14–15: the saying and the ancient book.</w:t>
      </w:r>
      <w:r>
        <w:t xml:space="preserve"> </w:t>
      </w:r>
      <w:r>
        <w:t xml:space="preserve">A similar saying appears in 1 Enoch, which is not in the Bible. I left that out of the reader text because I have not read the passage in a free full text. If you want it named, I will check it first and then add one sentence, with no quotation unless I have read it.</w:t>
      </w:r>
    </w:p>
    <w:p>
      <w:pPr>
        <w:numPr>
          <w:ilvl w:val="0"/>
          <w:numId w:val="1009"/>
        </w:numPr>
        <w:pStyle w:val="Compact"/>
      </w:pPr>
      <w:r>
        <w:rPr>
          <w:bCs/>
          <w:b/>
        </w:rPr>
        <w:t xml:space="preserve">Jude 14:</w:t>
      </w:r>
      <w:r>
        <w:rPr>
          <w:bCs/>
          <w:b/>
        </w:rPr>
        <w:t xml:space="preserve"> </w:t>
      </w:r>
      <w:r>
        <w:rPr>
          <w:bCs/>
          <w:b/>
        </w:rPr>
        <w:t xml:space="preserve">“</w:t>
      </w:r>
      <w:r>
        <w:rPr>
          <w:bCs/>
          <w:b/>
        </w:rPr>
        <w:t xml:space="preserve">ten thousands of his saints.</w:t>
      </w:r>
      <w:r>
        <w:rPr>
          <w:bCs/>
          <w:b/>
        </w:rPr>
        <w:t xml:space="preserve">”</w:t>
      </w:r>
      <w:r>
        <w:t xml:space="preserve"> </w:t>
      </w:r>
      <w:r>
        <w:t xml:space="preserve">The entry says the wording leans on Deuteronomy 33:2 and Zechariah 14:5. That is my reading from the wording; Jude does not say so.</w:t>
      </w:r>
    </w:p>
    <w:p>
      <w:pPr>
        <w:numPr>
          <w:ilvl w:val="0"/>
          <w:numId w:val="1009"/>
        </w:numPr>
        <w:pStyle w:val="Compact"/>
      </w:pPr>
      <w:r>
        <w:rPr>
          <w:bCs/>
          <w:b/>
        </w:rPr>
        <w:t xml:space="preserve">1 Corinthians 6:16:</w:t>
      </w:r>
      <w:r>
        <w:rPr>
          <w:bCs/>
          <w:b/>
        </w:rPr>
        <w:t xml:space="preserve"> </w:t>
      </w:r>
      <w:r>
        <w:rPr>
          <w:bCs/>
          <w:b/>
        </w:rPr>
        <w:t xml:space="preserve">“</w:t>
      </w:r>
      <w:r>
        <w:rPr>
          <w:bCs/>
          <w:b/>
        </w:rPr>
        <w:t xml:space="preserve">saith he.</w:t>
      </w:r>
      <w:r>
        <w:rPr>
          <w:bCs/>
          <w:b/>
        </w:rPr>
        <w:t xml:space="preserve">”</w:t>
      </w:r>
      <w:r>
        <w:t xml:space="preserve"> </w:t>
      </w:r>
      <w:r>
        <w:t xml:space="preserve">The subject is not named. I used Matthew 19:4–5 to show that the Lord attributes the Genesis words to the Maker. The conclusion that Paul uses a pre-law statement so that it can reach Gentiles is my reading.</w:t>
      </w:r>
    </w:p>
    <w:p>
      <w:pPr>
        <w:numPr>
          <w:ilvl w:val="0"/>
          <w:numId w:val="1009"/>
        </w:numPr>
        <w:pStyle w:val="Compact"/>
      </w:pPr>
      <w:r>
        <w:rPr>
          <w:bCs/>
          <w:b/>
        </w:rPr>
        <w:t xml:space="preserve">Mark 10:6–8.</w:t>
      </w:r>
      <w:r>
        <w:t xml:space="preserve"> </w:t>
      </w:r>
      <w:r>
        <w:t xml:space="preserve">I treated Genesis 1:27 and 2:24 as one account in the Lord’s use. Whether to also treat Matthew 19:9 (the exception) is held for a separate entry.</w:t>
      </w:r>
    </w:p>
    <w:p>
      <w:pPr>
        <w:numPr>
          <w:ilvl w:val="0"/>
          <w:numId w:val="1009"/>
        </w:numPr>
        <w:pStyle w:val="Compact"/>
      </w:pPr>
      <w:r>
        <w:rPr>
          <w:bCs/>
          <w:b/>
        </w:rPr>
        <w:t xml:space="preserve">John 6:31.</w:t>
      </w:r>
      <w:r>
        <w:t xml:space="preserve"> </w:t>
      </w:r>
      <w:r>
        <w:t xml:space="preserve">The crowd’s line draws on Exodus 16 and Psalm 78. I did not choose one source. John 6:51–58 is left to Study 72.</w:t>
      </w:r>
    </w:p>
    <w:p>
      <w:pPr>
        <w:numPr>
          <w:ilvl w:val="0"/>
          <w:numId w:val="1009"/>
        </w:numPr>
        <w:pStyle w:val="Compact"/>
      </w:pPr>
      <w:r>
        <w:rPr>
          <w:bCs/>
          <w:b/>
        </w:rPr>
        <w:t xml:space="preserve">John 6:45 and 6:44.</w:t>
      </w:r>
      <w:r>
        <w:t xml:space="preserve"> </w:t>
      </w:r>
      <w:r>
        <w:t xml:space="preserve">The entry does not state a position on what</w:t>
      </w:r>
      <w:r>
        <w:t xml:space="preserve"> </w:t>
      </w:r>
      <w:r>
        <w:t xml:space="preserve">“</w:t>
      </w:r>
      <w:r>
        <w:t xml:space="preserve">draw</w:t>
      </w:r>
      <w:r>
        <w:t xml:space="preserve">”</w:t>
      </w:r>
      <w:r>
        <w:t xml:space="preserve"> </w:t>
      </w:r>
      <w:r>
        <w:t xml:space="preserve">means or on election. If you want a position stated, that needs your ruling, because no existing product treats John 6 at length.</w:t>
      </w:r>
    </w:p>
    <w:p>
      <w:pPr>
        <w:numPr>
          <w:ilvl w:val="0"/>
          <w:numId w:val="1009"/>
        </w:numPr>
        <w:pStyle w:val="Compact"/>
      </w:pPr>
      <w:r>
        <w:rPr>
          <w:bCs/>
          <w:b/>
        </w:rPr>
        <w:t xml:space="preserve">John 6:45.</w:t>
      </w:r>
      <w:r>
        <w:t xml:space="preserve"> </w:t>
      </w:r>
      <w:r>
        <w:t xml:space="preserve">“</w:t>
      </w:r>
      <w:r>
        <w:t xml:space="preserve">It is written in the prophets</w:t>
      </w:r>
      <w:r>
        <w:t xml:space="preserve">”</w:t>
      </w:r>
      <w:r>
        <w:t xml:space="preserve"> </w:t>
      </w:r>
      <w:r>
        <w:t xml:space="preserve">names the prophetic books; I name Isaiah 54:13 as the source from the wording. That identification is shown by the wording, not by the text.</w:t>
      </w:r>
    </w:p>
    <w:p>
      <w:pPr>
        <w:pStyle w:val="FirstParagraph"/>
      </w:pPr>
      <w:r>
        <w:rPr>
          <w:bCs/>
          <w:b/>
        </w:rPr>
        <w:t xml:space="preserve">Overlap notes from the Fit Check</w:t>
      </w:r>
    </w:p>
    <w:p>
      <w:pPr>
        <w:numPr>
          <w:ilvl w:val="0"/>
          <w:numId w:val="1010"/>
        </w:numPr>
        <w:pStyle w:val="Compact"/>
      </w:pPr>
      <w:r>
        <w:t xml:space="preserve">Jude 14–15: Prophetic Commentary Volumes 1 and 5 report the verses in other contexts.</w:t>
      </w:r>
    </w:p>
    <w:p>
      <w:pPr>
        <w:numPr>
          <w:ilvl w:val="0"/>
          <w:numId w:val="1010"/>
        </w:numPr>
        <w:pStyle w:val="Compact"/>
      </w:pPr>
      <w:r>
        <w:t xml:space="preserve">Mark 10:6–8: Study 83 reports it inside its walk of 1 Corinthians 7.</w:t>
      </w:r>
    </w:p>
    <w:p>
      <w:pPr>
        <w:numPr>
          <w:ilvl w:val="0"/>
          <w:numId w:val="1010"/>
        </w:numPr>
        <w:pStyle w:val="Compact"/>
      </w:pPr>
      <w:r>
        <w:t xml:space="preserve">2 Corinthians 4:13: Study 84 argues the passage; this entry answers only the quotation.</w:t>
      </w:r>
    </w:p>
    <w:p>
      <w:pPr>
        <w:numPr>
          <w:ilvl w:val="0"/>
          <w:numId w:val="1010"/>
        </w:numPr>
        <w:pStyle w:val="Compact"/>
      </w:pPr>
      <w:r>
        <w:t xml:space="preserve">John 6:31: Typology Volume 4 reports the manna.</w:t>
      </w:r>
    </w:p>
    <w:p>
      <w:pPr>
        <w:numPr>
          <w:ilvl w:val="0"/>
          <w:numId w:val="1010"/>
        </w:numPr>
        <w:pStyle w:val="Compact"/>
      </w:pPr>
      <w:r>
        <w:t xml:space="preserve">Study 72 and Study 87 cite John 6 only in passing.</w:t>
      </w:r>
    </w:p>
    <w:p>
      <w:pPr>
        <w:pStyle w:val="FirstParagraph"/>
      </w:pPr>
      <w:r>
        <w:rPr>
          <w:bCs/>
          <w:b/>
        </w:rPr>
        <w:t xml:space="preserve">Not yet done</w:t>
      </w:r>
    </w:p>
    <w:p>
      <w:pPr>
        <w:numPr>
          <w:ilvl w:val="0"/>
          <w:numId w:val="1011"/>
        </w:numPr>
        <w:pStyle w:val="Compact"/>
      </w:pPr>
      <w:r>
        <w:t xml:space="preserve">No series Standard, Master Standard rule, Framework wording or website work exists for this series. Those follow only if you approve the shape after reading these seven.</w:t>
      </w:r>
    </w:p>
    <w:p>
      <w:pPr>
        <w:numPr>
          <w:ilvl w:val="0"/>
          <w:numId w:val="1011"/>
        </w:numPr>
        <w:pStyle w:val="Compact"/>
      </w:pPr>
      <w:r>
        <w:t xml:space="preserve">No modern writers are cited and there is no objections chapter in these entries; the full volumes would have both.</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Draft: Seven Entries on How the New Testament Uses the Old</dc:title>
  <dc:creator/>
  <cp:keywords/>
  <dcterms:created xsi:type="dcterms:W3CDTF">2026-10-18T20:07:40Z</dcterms:created>
  <dcterms:modified xsi:type="dcterms:W3CDTF">2026-10-18T20:07:40Z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Review copy. Not for the website.</vt:lpwstr>
  </property>
</Properties>
</file>