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844123" w14:textId="77777777" w:rsidR="009D4E88" w:rsidRDefault="00CF123C">
      <w:pPr>
        <w:jc w:val="center"/>
      </w:pPr>
      <w:r>
        <w:rPr>
          <w:rFonts w:ascii="Arial" w:hAnsi="Arial"/>
          <w:b/>
          <w:color w:val="1F4E79"/>
          <w:sz w:val="26"/>
        </w:rPr>
        <w:t>ZAY-MARIE PRESS</w:t>
      </w:r>
    </w:p>
    <w:p w14:paraId="32C3C823" w14:textId="77777777" w:rsidR="009D4E88" w:rsidRDefault="00CF123C">
      <w:pPr>
        <w:pStyle w:val="Title"/>
        <w:jc w:val="center"/>
      </w:pPr>
      <w:r>
        <w:t>DIGITAL STUDIES</w:t>
      </w:r>
      <w:r>
        <w:br/>
        <w:t>MASTER STANDARD</w:t>
      </w:r>
    </w:p>
    <w:p w14:paraId="1BE1BA43" w14:textId="77777777" w:rsidR="009D4E88" w:rsidRDefault="00CF123C">
      <w:pPr>
        <w:jc w:val="center"/>
      </w:pPr>
      <w:r>
        <w:t>Version 1.120 — Approved and Locked</w:t>
      </w:r>
    </w:p>
    <w:p w14:paraId="3DB3641F" w14:textId="77777777" w:rsidR="009D4E88" w:rsidRDefault="00CF123C">
      <w:pPr>
        <w:jc w:val="center"/>
      </w:pPr>
      <w:r>
        <w:t>Controlling content, design, production, approval, and publication standard for the Zay-Marie Press Digital Studies series</w:t>
      </w:r>
    </w:p>
    <w:p w14:paraId="3DB3641F" w14:textId="77777777" w:rsidR="009D4E88" w:rsidRDefault="00CF123C">
      <w:pPr/>
      <w:r>
        <w:rPr>
          <w:i/>
          <w:sz w:val="18"/>
        </w:rPr>
        <w:t>Revision note (v1.120): the Featured Tools tiles show one full tile at a time on phones.</w:t>
      </w:r>
    </w:p>
    <w:p w14:paraId="2614D38D" w14:textId="77777777" w:rsidR="009D4E88" w:rsidRDefault="009D4E88"/>
    <w:p w14:paraId="08049D58" w14:textId="77777777" w:rsidR="009D4E88" w:rsidRDefault="00CF123C">
      <w:pPr>
        <w:pStyle w:val="Heading1"/>
      </w:pPr>
      <w:r>
        <w:t>1. Governing Principle</w:t>
      </w:r>
    </w:p>
    <w:p w14:paraId="3414F9A2" w14:textId="77777777" w:rsidR="009D4E88" w:rsidRDefault="00CF123C">
      <w:r>
        <w:t>This document establishes the controlling content, doctrinal, structural, visual, production, approval, website, and publication standard for all Zay-Marie Press Digital Studies. Future studies are to be developed and audited against these written requirements rather than by inference from an earlier individual study.</w:t>
      </w:r>
    </w:p>
    <w:p w14:paraId="3414F9A2" w14:textId="77777777" w:rsidR="009D4E88" w:rsidRDefault="00CF123C">
      <w:r>
        <w:t>RULE-SYNC RULE (publisher directive, 2026-10-01): every rule that is added, changed or modified is recorded in two places — the project instruction file (CLAUDE.md) and this Master Standard. Whenever CLAUDE.md is updated with a rule, this document is updated in the same pass: the version is bumped, the DOCX and PDF are reissued, and the change is logged in the Version History. A rule that exists in only one of the two is incomplete. Rules kept in working files, such as the Category Standard, are also written into this document.</w:t>
      </w:r>
    </w:p>
    <w:p w14:paraId="23B98C54" w14:textId="77777777" w:rsidR="00B61C01" w:rsidRDefault="0049255F">
      <w:pPr>
        <w:pStyle w:val="Heading1"/>
      </w:pPr>
      <w:r>
        <w:t>2. Forward Cover System</w:t>
      </w:r>
    </w:p>
    <w:p w14:paraId="20492924" w14:textId="77777777" w:rsidR="00B61C01" w:rsidRDefault="0049255F">
      <w:r>
        <w:t>The full-bleed cover architecture approved with Study 34 — Filled Again and the final-file assembly confirmed with Study 35 — Who Is the Israel of God? govern all new Digital Studies beginning with Study 34. Studies 1–33 retain their approved covers and are not to be redesigned merely to create visual uniformity. A legacy cover may be reopened only when the publisher identifies an actual defect or expressly requests revision.</w:t>
      </w:r>
    </w:p>
    <w:p w14:paraId="31BC0D84" w14:textId="77777777" w:rsidR="00B61C01" w:rsidRDefault="0049255F">
      <w:pPr>
        <w:pStyle w:val="Heading2"/>
      </w:pPr>
      <w:r>
        <w:t>Required Cover Architecture</w:t>
      </w:r>
    </w:p>
    <w:p w14:paraId="165F46B7" w14:textId="77777777" w:rsidR="00B61C01" w:rsidRDefault="0049255F">
      <w:pPr>
        <w:pStyle w:val="ListBullet"/>
        <w:spacing w:after="60"/>
      </w:pPr>
      <w:r>
        <w:t>Use one subject-specific image as full-page, full-bleed artwork covering the entire 2:3 cover frame. Do not divide the cover into separate image and text fields.</w:t>
      </w:r>
    </w:p>
    <w:p w14:paraId="60289213" w14:textId="77777777" w:rsidR="00B61C01" w:rsidRDefault="0049255F">
      <w:pPr>
        <w:pStyle w:val="ListBullet"/>
        <w:spacing w:after="60"/>
      </w:pPr>
      <w:r>
        <w:t>Do not place the Zay-Marie Press logo or tagline on the forward cover template.</w:t>
      </w:r>
    </w:p>
    <w:p w14:paraId="0F78DA91" w14:textId="77777777" w:rsidR="00B61C01" w:rsidRDefault="0049255F">
      <w:pPr>
        <w:pStyle w:val="ListBullet"/>
        <w:spacing w:after="60"/>
      </w:pPr>
      <w:r>
        <w:t>Place a concise subject-category label in the upper-right corner. The label must be the exact name of the study’s catalog category, as fixed in Section 19 (Catalog Category Standard), and preserve a generous right-side safe margin after final PDF integration.</w:t>
      </w:r>
    </w:p>
    <w:p w14:paraId="2A65A33A" w14:textId="77777777" w:rsidR="00B61C01" w:rsidRDefault="0049255F">
      <w:pPr>
        <w:pStyle w:val="ListBullet"/>
        <w:spacing w:after="60"/>
      </w:pPr>
      <w:r>
        <w:t>Do not place a study number on the cover template.</w:t>
      </w:r>
    </w:p>
    <w:p w14:paraId="1833A48A" w14:textId="77777777" w:rsidR="00B61C01" w:rsidRDefault="0049255F">
      <w:pPr>
        <w:pStyle w:val="ListBullet"/>
        <w:spacing w:after="60"/>
      </w:pPr>
      <w:r>
        <w:t>Center the title in the upper visual field. Set it in a crisp, solid, bold sans-serif typeface with immediate readability, strong contrast, and clear dominance.</w:t>
      </w:r>
    </w:p>
    <w:p w14:paraId="103C0C04" w14:textId="77777777" w:rsidR="00B61C01" w:rsidRDefault="0049255F">
      <w:pPr>
        <w:pStyle w:val="ListBullet"/>
        <w:spacing w:after="60"/>
      </w:pPr>
      <w:r>
        <w:t>Center the subtitle beneath the title in the same bold sans-serif family. Keep it clearly subordinate through size and line arrangement while preserving strong thumbnail readability.</w:t>
      </w:r>
    </w:p>
    <w:p w14:paraId="6AA5ACAC" w14:textId="77777777" w:rsidR="00B61C01" w:rsidRDefault="0049255F">
      <w:pPr>
        <w:pStyle w:val="ListBullet"/>
        <w:spacing w:after="60"/>
      </w:pPr>
      <w:r>
        <w:t>Do not use a divider, separator rule, frame, footer band, or separate solid-color panel. The approved artwork must remain visibly continuous across the entire cover.</w:t>
      </w:r>
    </w:p>
    <w:p w14:paraId="70DE3DAA" w14:textId="77777777" w:rsidR="00B61C01" w:rsidRDefault="0049255F">
      <w:pPr>
        <w:pStyle w:val="ListBullet"/>
        <w:spacing w:after="60"/>
      </w:pPr>
      <w:r>
        <w:t>A restrained transparent gradient, vignette, or text shadow may be used when necessary for legibility, but it must not read as a separate panel or obscure the subject artwork.</w:t>
      </w:r>
    </w:p>
    <w:p w14:paraId="18F09447" w14:textId="77777777" w:rsidR="00B61C01" w:rsidRDefault="0049255F">
      <w:pPr>
        <w:pStyle w:val="ListBullet"/>
        <w:spacing w:after="60"/>
      </w:pPr>
      <w:r>
        <w:t>Center the bottom imprint “DIGITAL STUDIES SERIES” near the lower edge directly over the artwork. Do not add side rules, decorative dividers, or a colored footer bar.</w:t>
      </w:r>
    </w:p>
    <w:p>
      <w:pPr>
        <w:pStyle w:val="Heading2"/>
      </w:pPr>
      <w:r>
        <w:t>Cover Production Method</w:t>
      </w:r>
    </w:p>
    <w:p>
      <w:pPr/>
      <w:r>
        <w:t>Generate or select the subject artwork as a clean, text-free portrait image in a 2:3 ratio whenever possible. The image must support clear text placement in the upper visual field and remain meaningful when reduced to website-card size.</w:t>
      </w:r>
    </w:p>
    <w:p>
      <w:pPr/>
      <w:r>
        <w:t>Assemble the category label, title, subtitle, and series imprint deterministically in the production layout rather than asking an image generator to render essential typography. The subject artwork may vary by study, but the approved hierarchy and placement system remain consistent unless the publisher approves a substantive redesign. The category label names the study’s catalog category in the form fixed by the Catalog Category Standard (Section 19).</w:t>
      </w:r>
    </w:p>
    <w:p>
      <w:pPr>
        <w:pStyle w:val="Heading2"/>
      </w:pPr>
      <w:r>
        <w:t>Cover Art Brief (added v1.19)</w:t>
      </w:r>
    </w:p>
    <w:p>
      <w:pPr/>
      <w:r>
        <w:t>Before artwork is generated, prepare a detailed written cover art brief for the study. The brief must describe: the recommended central image concept; composition and framing, including the space reserved for the upper-right category label, the centered title and subtitle, and the bottom imprint; palette, lighting, and mood, consistent with the established series look; specific symbolic details to consider; and elements to avoid (baked-in text, identifiable faces, denominational iconography, anachronisms, AI-generation badges or watermarks).</w:t>
      </w:r>
    </w:p>
    <w:p>
      <w:pPr/>
      <w:r>
        <w:t>Deliver the brief to the publisher, who forwards it to the illustrator or uses it directly with an image-generation tool and returns the resulting artwork. The brief is descriptive guidance only — it does not itself constitute the approved cover. The returned artwork remains subject to the full Cover Readability and Approval requirements below, including the publisher's approval at Checkpoint 3 before any integration into the website or final files.</w:t>
      </w:r>
    </w:p>
    <w:p>
      <w:pPr>
        <w:pStyle w:val="Heading2"/>
      </w:pPr>
      <w:r>
        <w:t>Cover Readability and Approval</w:t>
      </w:r>
    </w:p>
    <w:p>
      <w:pPr>
        <w:pStyle w:val="ListBullet"/>
      </w:pPr>
      <w:r>
        <w:t>Preserve generous safe margins around the upper-right category, centered title and subtitle, important subject details, and bottom imprint. Recheck these margins after the cover is placed into the final DOCX and PDF; integration must not enlarge, crop, or shift the approved composition.</w:t>
      </w:r>
    </w:p>
    <w:p>
      <w:pPr>
        <w:pStyle w:val="ListBullet"/>
      </w:pPr>
      <w:r>
        <w:t>Do not use soft, distressed, blurred, thin, decorative, serif, or heavy-outline title and subtitle treatments. Both must remain bold sans-serif and sharply rendered.</w:t>
      </w:r>
    </w:p>
    <w:p>
      <w:pPr>
        <w:pStyle w:val="ListBullet"/>
      </w:pPr>
      <w:r>
        <w:t>Export the authoritative cover at a 2:3 ratio, using 1600 × 2400 pixels as the standard production size. Inspect it at full size and at 320 × 480 pixels, the catalog-thumbnail QA size.</w:t>
      </w:r>
    </w:p>
    <w:p>
      <w:pPr>
        <w:pStyle w:val="ListBullet"/>
      </w:pPr>
      <w:r>
        <w:t>Confirm spelling, line breaks, hierarchy, contrast, uncropped artwork, safe margins, and thumbnail legibility before approval.</w:t>
      </w:r>
    </w:p>
    <w:p>
      <w:pPr>
        <w:pStyle w:val="ListBullet"/>
      </w:pPr>
      <w:r>
        <w:t>After approval, use the same authoritative cover composition in the final DOCX, final PDF, catalog card, and individual preview page. Website optimization and document integration must not crop, soften, distort, enlarge beyond the page frame, or otherwise alter it.</w:t>
      </w:r>
    </w:p>
    <w:p>
      <w:pPr>
        <w:pStyle w:val="Heading1"/>
      </w:pPr>
      <w:r>
        <w:t>3. Required Final PDF and Interior Sequence</w:t>
      </w:r>
    </w:p>
    <w:p>
      <w:pPr/>
      <w:r>
        <w:t>Every final Digital Study must use the following publication architecture in this order:</w:t>
      </w:r>
    </w:p>
    <w:p>
      <w:pPr>
        <w:spacing w:after="60"/>
        <w:ind w:left="259"/>
      </w:pPr>
      <w:r>
        <w:t>1. Approved Cover Page — retained as the first physical PDF page; unnumbered and without the interior footer</w:t>
      </w:r>
    </w:p>
    <w:p>
      <w:pPr>
        <w:spacing w:after="60"/>
        <w:ind w:left="259"/>
      </w:pPr>
      <w:r>
        <w:t>2. Interior Title Page — retained immediately after the cover and counted as interior page 1; the visible number may be suppressed</w:t>
      </w:r>
    </w:p>
    <w:p>
      <w:pPr>
        <w:spacing w:after="60"/>
        <w:ind w:left="259"/>
      </w:pPr>
      <w:r>
        <w:t>3. Table of Contents</w:t>
      </w:r>
    </w:p>
    <w:p>
      <w:pPr>
        <w:spacing w:after="60"/>
        <w:ind w:left="259"/>
      </w:pPr>
      <w:r>
        <w:t>4. What You Will Learn in This Study — set as bullets, never as running paragraphs</w:t>
      </w:r>
    </w:p>
    <w:p>
      <w:pPr>
        <w:spacing w:after="60"/>
        <w:ind w:left="259"/>
      </w:pPr>
      <w:r>
        <w:t>5. Study Goal — presented as a callout</w:t>
      </w:r>
    </w:p>
    <w:p>
      <w:pPr>
        <w:spacing w:after="60"/>
        <w:ind w:left="259"/>
      </w:pPr>
      <w:r>
        <w:t>6. Study Outline</w:t>
      </w:r>
    </w:p>
    <w:p>
      <w:pPr>
        <w:spacing w:after="60"/>
        <w:ind w:left="259"/>
      </w:pPr>
      <w:r>
        <w:t>7. Introduction</w:t>
      </w:r>
    </w:p>
    <w:p>
      <w:pPr>
        <w:spacing w:after="60"/>
        <w:ind w:left="259"/>
      </w:pPr>
      <w:r>
        <w:t>8. Main Teaching — structured, organized, hierarchical, and numbered</w:t>
      </w:r>
    </w:p>
    <w:p>
      <w:pPr>
        <w:spacing w:after="60"/>
        <w:ind w:left="259"/>
      </w:pPr>
      <w:r>
        <w:t>9. Conclusion</w:t>
      </w:r>
    </w:p>
    <w:p>
      <w:pPr>
        <w:spacing w:after="60"/>
        <w:ind w:left="259"/>
      </w:pPr>
      <w:r>
        <w:t>10. Study Summary</w:t>
      </w:r>
    </w:p>
    <w:p>
      <w:pPr>
        <w:spacing w:after="60"/>
        <w:ind w:left="259"/>
      </w:pPr>
      <w:r>
        <w:t>11. Key Distinctions to Retain</w:t>
      </w:r>
    </w:p>
    <w:p>
      <w:pPr>
        <w:spacing w:after="60"/>
        <w:ind w:left="259"/>
      </w:pPr>
      <w:r>
        <w:t>12. Scripture-Tracing Exercise</w:t>
      </w:r>
    </w:p>
    <w:p>
      <w:pPr>
        <w:spacing w:after="60"/>
        <w:ind w:left="259"/>
      </w:pPr>
      <w:r>
        <w:t>13. Review and Discussion Questions</w:t>
      </w:r>
    </w:p>
    <w:p>
      <w:pPr>
        <w:spacing w:after="60"/>
        <w:ind w:left="259"/>
      </w:pPr>
      <w:r>
        <w:t>14. Teaching Outline</w:t>
      </w:r>
    </w:p>
    <w:p>
      <w:pPr>
        <w:spacing w:after="60"/>
        <w:ind w:left="259"/>
      </w:pPr>
      <w:r>
        <w:t>15. Guided Further Study</w:t>
      </w:r>
    </w:p>
    <w:p>
      <w:pPr>
        <w:spacing w:after="60"/>
        <w:ind w:left="259"/>
      </w:pPr>
      <w:r>
        <w:t>16. Final Synthesis</w:t>
      </w:r>
    </w:p>
    <w:p>
      <w:pPr/>
      <w:r>
        <w:rPr>
          <w:b/>
        </w:rPr>
        <w:t>FINAL-ASSEMBLY CONTROL:</w:t>
      </w:r>
      <w:r>
        <w:t xml:space="preserve"> The approved cover must remain in the final DOCX and PDF as the first physical page. Never delete the cover during PDF assembly or substitute the interior title page for it.</w:t>
      </w:r>
    </w:p>
    <w:p>
      <w:pPr/>
      <w:r>
        <w:rPr>
          <w:b/>
        </w:rPr>
        <w:t>PAGINATION CONTROL:</w:t>
      </w:r>
      <w:r>
        <w:t xml:space="preserve"> The cover is outside the interior numbering system. Interior pagination begins with the title page as page 1, even when its visible page number is suppressed. TOC references must correspond to interior page numbers, not physical PDF page positions.</w:t>
      </w:r>
    </w:p>
    <w:p>
      <w:pPr/>
      <w:r>
        <w:rPr>
          <w:b/>
        </w:rPr>
        <w:t>PAGE-COUNT CONTROL:</w:t>
      </w:r>
      <w:r>
        <w:t xml:space="preserve"> The 15-page content-depth standard applies to the substantive interior. The verified website page-count disclosure must report the complete final PDF total, including the retained cover page.</w:t>
      </w:r>
    </w:p>
    <w:p>
      <w:pPr>
        <w:pStyle w:val="Heading1"/>
      </w:pPr>
      <w:r>
        <w:t>4. Callout Standard</w:t>
      </w:r>
    </w:p>
    <w:p>
      <w:pPr>
        <w:pStyle w:val="ListBullet"/>
      </w:pPr>
      <w:r>
        <w:t>Each study must contain exactly five callouts, and every callout must be boxed.</w:t>
      </w:r>
    </w:p>
    <w:p>
      <w:pPr>
        <w:pStyle w:val="ListBullet"/>
      </w:pPr>
      <w:r>
        <w:t>The Study Goal is one of the five required callouts.</w:t>
      </w:r>
    </w:p>
    <w:p>
      <w:pPr>
        <w:pStyle w:val="ListBullet"/>
      </w:pPr>
      <w:r>
        <w:t>All callouts must have exactly 10 pt spacing before and 10 pt spacing after.</w:t>
      </w:r>
    </w:p>
    <w:p>
      <w:pPr>
        <w:pStyle w:val="ListBullet"/>
      </w:pPr>
      <w:r>
        <w:t>The other four callouts are distributed naturally throughout the study.</w:t>
      </w:r>
    </w:p>
    <w:p>
      <w:pPr>
        <w:pStyle w:val="ListBullet"/>
      </w:pPr>
      <w:r>
        <w:t>Callouts should reinforce significant teaching controls, distinctions, interpretive principles, or conclusions; they should not be inserted merely to satisfy the numerical requirement.</w:t>
      </w:r>
    </w:p>
    <w:p>
      <w:pPr>
        <w:pStyle w:val="ListBullet"/>
      </w:pPr>
      <w:r>
        <w:t>Where a source file carries more than five callouts, the five that carry the study’s most important teaching controls, distinctions, interpretive principles or conclusions remain boxed. Each of the others becomes an ordinary body paragraph with its former label kept as a bold run-in lead (for example, “Key distinction.”), and its wording is not changed.</w:t>
      </w:r>
    </w:p>
    <w:p>
      <w:pPr>
        <w:pStyle w:val="ListBullet"/>
      </w:pPr>
      <w:r>
        <w:t>Callout appearance: a single light-blue box with a 1 pt dark navy border on all four sides, a bold uppercase navy title, and regular dark body text.</w:t>
      </w:r>
    </w:p>
    <w:p>
      <w:pPr/>
      <w:r>
        <w:rPr>
          <w:b/>
        </w:rPr>
        <w:t>CALLOUT CONTROL:</w:t>
      </w:r>
      <w:r>
        <w:t xml:space="preserve"> Exactly 10 pt before and 10 pt after each callout. Internal padding must use the approved compact publisher-grade treatment established in Study #10: approximately 7 pt top and bottom and 8 pt left and right, with balanced breathing room around the text.</w:t>
      </w:r>
    </w:p>
    <w:p>
      <w:pPr>
        <w:pStyle w:val="ListBullet"/>
      </w:pPr>
      <w:r>
        <w:t>All callout boxes must provide sufficient but restrained internal padding so that text never appears crowded against the border and the box does not contain excessive empty space.</w:t>
      </w:r>
    </w:p>
    <w:p>
      <w:pPr>
        <w:pStyle w:val="ListBullet"/>
      </w:pPr>
      <w:r>
        <w:t>Internal padding must be approximately 7 pt on the top and bottom and 8 pt on the left and right, applied consistently throughout the study unless a specific callout requires a minor optical adjustment.</w:t>
      </w:r>
    </w:p>
    <w:p>
      <w:pPr>
        <w:pStyle w:val="ListBullet"/>
      </w:pPr>
      <w:r>
        <w:t>The 10 pt spacing-before/spacing-after requirement controls the space outside the callout box; internal padding controls the breathing room inside the box. Both requirements must be satisfied independently.</w:t>
      </w:r>
    </w:p>
    <w:p>
      <w:pPr>
        <w:pStyle w:val="ListBullet"/>
      </w:pPr>
      <w:r>
        <w:t>Text must never visually touch or press against a callout border. Padding must remain compact, balanced, and publisher-grade, matching the approved Study #10 PDF appearance.</w:t>
      </w:r>
    </w:p>
    <w:p>
      <w:pPr>
        <w:pStyle w:val="Heading1"/>
      </w:pPr>
      <w:r>
        <w:t>5. Table of Contents Standard</w:t>
      </w:r>
    </w:p>
    <w:p>
      <w:pPr>
        <w:pStyle w:val="ListBullet"/>
      </w:pPr>
      <w:r>
        <w:t>The Table of Contents must be presented as a dedicated, neatly organized interior component.</w:t>
      </w:r>
    </w:p>
    <w:p>
      <w:pPr>
        <w:pStyle w:val="ListBullet"/>
      </w:pPr>
      <w:r>
        <w:t>The Table of Contents must be numbered in Arabic numerals only; Roman numerals are never used.</w:t>
      </w:r>
    </w:p>
    <w:p>
      <w:pPr>
        <w:pStyle w:val="ListBullet"/>
      </w:pPr>
      <w:r>
        <w:t>Each topic line must show its final page number at the far right.</w:t>
      </w:r>
    </w:p>
    <w:p>
      <w:pPr>
        <w:pStyle w:val="ListBullet"/>
      </w:pPr>
      <w:r>
        <w:t>Topic lines and page numbers must be aligned consistently and structured for quick visual scanning.</w:t>
      </w:r>
    </w:p>
    <w:p>
      <w:pPr>
        <w:pStyle w:val="ListBullet"/>
      </w:pPr>
      <w:r>
        <w:t>Production placeholders such as “final page numbers will be inserted later” are not permitted in the finished study.</w:t>
      </w:r>
    </w:p>
    <w:p>
      <w:pPr>
        <w:pStyle w:val="ListBullet"/>
      </w:pPr>
      <w:r>
        <w:t>The Table of Contents must appear on a dedicated page and use the mature Digital Studies TOC architecture.</w:t>
      </w:r>
    </w:p>
    <w:p>
      <w:pPr>
        <w:pStyle w:val="ListBullet"/>
      </w:pPr>
      <w:r>
        <w:t>All TOC entry text must begin on one consistent left-aligned axis in a single flat list, with no sub-levels.</w:t>
      </w:r>
    </w:p>
    <w:p>
      <w:pPr>
        <w:pStyle w:val="ListBullet"/>
      </w:pPr>
      <w:r>
        <w:t>Page numbers must be right aligned on one common vertical axis at the far right.</w:t>
      </w:r>
    </w:p>
    <w:p>
      <w:pPr>
        <w:pStyle w:val="ListBullet"/>
      </w:pPr>
      <w:r>
        <w:t>Dot leaders must run cleanly between each entry and its page number.</w:t>
      </w:r>
    </w:p>
    <w:p>
      <w:pPr>
        <w:pStyle w:val="ListBullet"/>
      </w:pPr>
      <w:r>
        <w:t>Typography and entry spacing must remain uniform throughout the TOC. Each entry is set at the body-paragraph spacing: 6 pt space-after, 0 pt space-before and 1.08 line spacing, with no compressed or hand-set spacing, so the list reads open and easy to scan (added v1.29). The list must still fit on its dedicated page.</w:t>
      </w:r>
    </w:p>
    <w:p>
      <w:pPr>
        <w:pStyle w:val="Heading1"/>
      </w:pPr>
      <w:r>
        <w:t>6. Body-Content Standard</w:t>
      </w:r>
    </w:p>
    <w:p>
      <w:pPr/>
      <w:r>
        <w:t>The teaching body must be structured, organized, numbered, hierarchical, and progressive. It must develop the biblical argument in a deliberate sequence rather than present a loose collection of paragraphs.</w:t>
      </w:r>
    </w:p>
    <w:p>
      <w:pPr/>
      <w:r>
        <w:t>The number of major teaching sections is subject-dependent. No fixed number of sections is imposed on every study. Each study should contain as many numbered sections and subsections as are necessary to develop its subject clearly and thoroughly.</w:t>
      </w:r>
    </w:p>
    <w:p>
      <w:pPr>
        <w:pStyle w:val="Heading2"/>
      </w:pPr>
      <w:r>
        <w:t>Body-Content Paragraph and Heading Spacing Standard (added v1.20)</w:t>
      </w:r>
    </w:p>
    <w:p>
      <w:pPr/>
      <w:r>
        <w:t>Vertical spacing within the teaching body is controlled by fixed, numeric paragraph and heading settings, not by visual approximation. These values apply throughout the interior of every Digital Study and work together with the Global Vertical-Spacing Rule in Section 10, which prohibits blank paragraphs as a spacing device.</w:t>
      </w:r>
    </w:p>
    <w:p>
      <w:pPr>
        <w:pStyle w:val="ListBullet"/>
      </w:pPr>
      <w:r>
        <w:t>Body paragraphs — Roboto Regular 10 pt, 6 pt space-after, 0 pt space-before, 1.08 line spacing (10 pt from v1.48; 9 pt before). A paragraph that immediately follows a table carries at least 10 pt space-before.</w:t>
      </w:r>
    </w:p>
    <w:p>
      <w:pPr>
        <w:pStyle w:val="ListBullet"/>
      </w:pPr>
      <w:r>
        <w:t>Heading 1 (numbered major sections) — 12 pt space-before, 8 pt space-after, for every study. Studies 1–5 and 9 were first built at 14 pt; from v1.47 they move to 12 pt when reopened, with the rest of the geometry below.</w:t>
      </w:r>
    </w:p>
    <w:p>
      <w:pPr>
        <w:pStyle w:val="ListBullet"/>
      </w:pPr>
      <w:r>
        <w:t>Heading 2 — 10 pt space-before, 5 pt space-after. This applies to unnumbered sub-headings such as “Study Outline.” Numbered subsections (1.1, 1.2 …) follow the Study 52 Reference Standard below and are set as body-weight lines at body-paragraph spacing.</w:t>
      </w:r>
    </w:p>
    <w:p>
      <w:pPr/>
      <w:r>
        <w:t>These figures supersede any prior unstated default and are binding for Study 50 forward, and for any earlier study whose interior is reopened for revision.</w:t>
      </w:r>
    </w:p>
    <w:p>
      <w:pPr>
        <w:pStyle w:val="Heading2"/>
      </w:pPr>
      <w:r>
        <w:t>Study 52 Reference Standard (added v1.37)</w:t>
      </w:r>
    </w:p>
    <w:p>
      <w:pPr/>
      <w:r>
        <w:t>By publisher directive (2026-10-02), Study 52, Sonship and Adoption, is the golden standard for the format, structure and balance of blue and black type of every Digital Study. It binds Study 53 forward, and from v1.47 it also binds every earlier study that is reopened or retrofitted (the Interior Page Geometry and Text Layout Standard below). Studies 50 and 51 already share its interior treatment. Study 52’s final approved interior PDF and DOCX are the visual reference; where this section and the reference differ, the publisher decides.</w:t>
      </w:r>
    </w:p>
    <w:p>
      <w:pPr>
        <w:pStyle w:val="ListBullet"/>
      </w:pPr>
      <w:r>
        <w:t>Navy (the established dark navy, #1B3350) is used only for: major-section headings, numbered or unnumbered, including “Table of Contents” (Roboto Bold, 17 pt); callout titles (Roboto Bold, 10 pt, uppercase); the “Study Outline” sub-heading (Roboto Bold, 12 pt); and the imprint line on the last page. Light blue is used only as the callout fill, and Slate Blue (#3B6E91) only as the table-header fill, per Sections 4 and 13.</w:t>
      </w:r>
    </w:p>
    <w:p>
      <w:pPr>
        <w:pStyle w:val="ListBullet"/>
      </w:pPr>
      <w:r>
        <w:t>Everything else is black Roboto Regular at 10 pt (v1.48; 9 pt in the earlier build): body paragraphs, numbered subsection lines, lists, table body text and Table of Contents entries. The footer is set separately and is not part of the 10 pt body size (Study 52: 8.5 pt, #333333). Bold within body text is limited to run-in leads and similar short emphasis.</w:t>
      </w:r>
    </w:p>
    <w:p>
      <w:pPr>
        <w:pStyle w:val="ListBullet"/>
      </w:pPr>
      <w:r>
        <w:t>Numbered subsections (1.1, 1.2 …) are body-weight black lines at body-paragraph spacing (6 pt after, 1.08 line spacing). They are not set as navy headings. This is the treatment of Studies 50, 51 and 52.</w:t>
      </w:r>
    </w:p>
    <w:p>
      <w:pPr>
        <w:pStyle w:val="ListBullet"/>
      </w:pPr>
      <w:r>
        <w:t>Measured balance: roughly 1–2% of the characters on the interior pages are navy, and no interior page exceeds about 2.5%. A build that departs markedly from this, for example by setting subsections in navy, is a departure from the standard.</w:t>
      </w:r>
    </w:p>
    <w:p>
      <w:pPr>
        <w:pStyle w:val="ListBullet"/>
      </w:pPr>
      <w:r>
        <w:t>Structure, in order: cover; Table of Contents (flat, Arabic numerals); What You Will Learn in This Study (a bulleted list of six process-worded points, never running paragraphs); Study Goal callout; Study Outline (numbered list); Introduction; the numbered teaching sections with numbered subsections (the number of sections follows the subject, as Section 6 provides; Study 52 has six); the five boxed callouts distributed through the study; KJV tables with the columns Verse, KJV text and What to observe, each introduced by one sentence; Conclusion; Study Summary; Key Distinctions to Retain; Scripture-Tracing Exercise; Review and Discussion Questions; Teaching Outline (Roman numerals with A–C items); Guided Further Study (groups of passages, each with Observe, Compare and Conclude); Final Synthesis; and the single end imprint. The Final Synthesis and imprint share the last page.</w:t>
      </w:r>
    </w:p>
    <w:p>
      <w:pPr>
        <w:pStyle w:val="ListBullet"/>
      </w:pPr>
      <w:r>
        <w:t>What You Will Learn is always bulleted (publisher directive, 2026-10-03): the section is a list of bullet points, each describing one process, textual marker or interpretive discipline the reader will practice (Section 17 still governs what the bullets may say). It is never set as running paragraphs. At most one short lead-in line (for example, “By the end of this study, you should be able to:”) may stand above the bullets. The Study Goal callout and the Study Outline keep their own forms. The rule governs every new study and every study rebuilt or retrofitted from this version forward; earlier studies take it when reopened or when the publisher directs.</w:t>
      </w:r>
    </w:p>
    <w:p>
      <w:pPr>
        <w:pStyle w:val="ListBullet"/>
      </w:pPr>
      <w:r>
        <w:t>Section 3 (sequence), Section 4 (five callouts), Section 5 (Table of Contents), Section 8 (Roboto only), Section 9 (16 pages including the cover) and Section 13 (tables) continue to apply; this subsection fixes the visual balance and the template they are applied to.</w:t>
      </w:r>
    </w:p>
    <w:p>
      <w:pPr>
        <w:pStyle w:val="Heading2"/>
      </w:pPr>
      <w:r>
        <w:t>Interior Page Geometry and Text Layout Standard (added v1.47)</w:t>
      </w:r>
    </w:p>
    <w:p>
      <w:pPr/>
      <w:r>
        <w:t>By publisher directive (2026-10-02), after Study 1 was rebuilt, every Digital Study is set on the page and text layout of the later studies, not only in the same typeface. Font family and point sizes alone do not make a study match: the page size, margins and paragraph layout decide how the type looks. Applies to every study, past, present and future. An earlier study built on any other page size (for example Letter, 612 × 792 pt, or 432 × 648 pt) is rebuilt to this geometry when it is reopened or retrofitted, and every study check measures it. A study may run to more or fewer pages when moved to the standard page; the page count is then recounted and the website updated (Section 12).</w:t>
      </w:r>
    </w:p>
    <w:p>
      <w:pPr>
        <w:pStyle w:val="ListBullet"/>
      </w:pPr>
      <w:r>
        <w:t>Page size: 483.846 × 725.754 pt (9677 × 14515 twips) for the cover section and the interior section alike.</w:t>
      </w:r>
    </w:p>
    <w:p>
      <w:pPr>
        <w:pStyle w:val="ListBullet"/>
      </w:pPr>
      <w:r>
        <w:t>Cover: its own section, full bleed within 0.25 in (360 twips) margins, no footer; the cover is the first physical page and is unnumbered.</w:t>
      </w:r>
    </w:p>
    <w:p>
      <w:pPr>
        <w:pStyle w:val="ListBullet"/>
      </w:pPr>
      <w:r>
        <w:t>Interior margins: top 864, bottom 1224, left and right 1031 twips; header distance 400, footer distance 475 (Study 52).</w:t>
      </w:r>
    </w:p>
    <w:p>
      <w:pPr>
        <w:pStyle w:val="ListBullet"/>
      </w:pPr>
      <w:r>
        <w:t>Body paragraphs are left-aligned and flush left with no first-line indent, at 10 pt Roboto Regular black (v1.48), 6 pt after, 0 before, 1.08 line spacing (Section 6). Hanging indents belong only to lists.</w:t>
      </w:r>
    </w:p>
    <w:p>
      <w:pPr>
        <w:pStyle w:val="ListBullet"/>
      </w:pPr>
      <w:r>
        <w:t>Bold is limited to run-in leads (for example “Read:”, “Purpose:”, “Bring Your Findings Together:”) and similar short emphasis; a whole paragraph is never set in bold, and navy is used only as the Study 52 Reference Standard provides.</w:t>
      </w:r>
    </w:p>
    <w:p>
      <w:pPr>
        <w:pStyle w:val="ListBullet"/>
      </w:pPr>
      <w:r>
        <w:t>Lists (bullets and numbered items) are set at 10 pt (v1.48) with 0 pt after each item and 6 pt after the last item of the list, at 1.08 line spacing.</w:t>
      </w:r>
    </w:p>
    <w:p>
      <w:pPr>
        <w:pStyle w:val="ListBullet"/>
      </w:pPr>
      <w:r>
        <w:t>Table spacing (enforced, v1.48): every table, callout boxes included, has 10 pt of controlled spacing before and after (Section 13). The paragraph immediately before a table has at least 10 pt space-after, and the paragraph immediately after a table has at least 10 pt space-before, so text never touches a table; blank paragraphs are never used. Every study check measures the first paragraph after each table.</w:t>
      </w:r>
    </w:p>
    <w:p>
      <w:pPr>
        <w:pStyle w:val="ListBullet"/>
      </w:pPr>
      <w:r>
        <w:t>Tables and callout boxes stay inside the text margins (publisher directive, 2026-10-05, replacing the v1.47 “7815 twips wide with a −100 twip table indent” setting, which let the border run past the margins). Every table, callout boxes included, is 7615 twips wide (the full text width: page 9677 less left and right margins of 1031) with a 100 twip table indent and 100 twip left and right table cell margins, so the outer border lies on the text margins and never extends past them on either side. A callout box is one table cell; the Table of Contents right tab with dot leaders is set at 7615 twips. Every study check measures the left and right edge of every table and callout box against the text margins (1031 twips each side) and reports any that extend beyond them. Study 73 is the first study built to it; earlier studies take it when reopened or when the publisher directs.</w:t>
      </w:r>
    </w:p>
    <w:p>
      <w:pPr>
        <w:pStyle w:val="ListBullet"/>
      </w:pPr>
      <w:r>
        <w:t>Flow: only the Table of Contents and What You Will Learn start on a new page. Later sections flow continuously; page breaks are not used to start the Introduction or the closing sections. The final imprint never stands alone on a page.</w:t>
      </w:r>
    </w:p>
    <w:p>
      <w:pPr>
        <w:pStyle w:val="ListBullet"/>
      </w:pPr>
      <w:r>
        <w:t>Measurement: every study check reports the page size, margins, first-line indents, bold paragraphs, list spacing, callout width and TOC tab position, and compares them with this subsection and with Study 52.</w:t>
      </w:r>
    </w:p>
    <w:p>
      <w:pPr>
        <w:pStyle w:val="Heading1"/>
      </w:pPr>
      <w:r>
        <w:t>7. Required Closing and Instructional Components</w:t>
      </w:r>
    </w:p>
    <w:p>
      <w:pPr/>
      <w:r>
        <w:rPr>
          <w:b/>
        </w:rPr>
        <w:t>Conclusion:</w:t>
      </w:r>
      <w:r>
        <w:t xml:space="preserve"> Brings the study’s main biblical argument to a clear conclusion without introducing an unrelated new argument.</w:t>
      </w:r>
    </w:p>
    <w:p>
      <w:pPr/>
      <w:r>
        <w:rPr>
          <w:b/>
        </w:rPr>
        <w:t>Study Summary:</w:t>
      </w:r>
      <w:r>
        <w:t xml:space="preserve"> Restates the study’s central argument and major findings in a concise, usable form.</w:t>
      </w:r>
    </w:p>
    <w:p>
      <w:pPr/>
      <w:r>
        <w:rPr>
          <w:b/>
        </w:rPr>
        <w:t>Key Distinctions to Retain:</w:t>
      </w:r>
      <w:r>
        <w:t xml:space="preserve"> Identifies the principal distinctions the reader must preserve when interpreting or teaching the subject.</w:t>
      </w:r>
    </w:p>
    <w:p>
      <w:pPr/>
      <w:r>
        <w:rPr>
          <w:b/>
        </w:rPr>
        <w:t>Scripture-Tracing Exercise:</w:t>
      </w:r>
      <w:r>
        <w:t xml:space="preserve"> Requires the reader to trace the argument through the relevant biblical passages rather than merely repeat conclusions.</w:t>
      </w:r>
    </w:p>
    <w:p>
      <w:pPr/>
      <w:r>
        <w:rPr>
          <w:b/>
        </w:rPr>
        <w:t>Review and Discussion Questions:</w:t>
      </w:r>
      <w:r>
        <w:t xml:space="preserve"> Tests comprehension, interpretation, and the reader’s ability to explain the study.</w:t>
      </w:r>
    </w:p>
    <w:p>
      <w:pPr/>
      <w:r>
        <w:rPr>
          <w:b/>
        </w:rPr>
        <w:t>Teaching Outline:</w:t>
      </w:r>
      <w:r>
        <w:t xml:space="preserve"> Provides an organized framework the reader can use to explain or teach the study to another person.</w:t>
      </w:r>
    </w:p>
    <w:p>
      <w:pPr/>
      <w:r>
        <w:rPr>
          <w:b/>
        </w:rPr>
        <w:t>Guided Further Study:</w:t>
      </w:r>
      <w:r>
        <w:t xml:space="preserve"> Explains how the reader should continue the investigation and provides grouped additional passages. Instructions must tell the reader to open and read the cited passages in context, observe the assigned subject or distinction, compare the evidence with the study’s controlling framework, and record a concise conclusion. A bare list of references is not sufficient.</w:t>
      </w:r>
    </w:p>
    <w:p>
      <w:pPr/>
      <w:r>
        <w:rPr>
          <w:b/>
        </w:rPr>
        <w:t>Final Synthesis:</w:t>
      </w:r>
      <w:r>
        <w:t xml:space="preserve"> Requires the reader to bring the evidence together and articulate the biblical case as a coherent whole.</w:t>
      </w:r>
    </w:p>
    <w:p>
      <w:pPr>
        <w:pStyle w:val="Heading1"/>
      </w:pPr>
      <w:r>
        <w:t>8. Color and Typography Control</w:t>
      </w:r>
    </w:p>
    <w:p>
      <w:pPr/>
      <w:r>
        <w:t>Where the Digital Studies design uses blue font, use the established dark blue rather than light blue. Light blue may remain as an approved callout fill/background or other non-text design element, but light-blue font is not to be used.</w:t>
      </w:r>
    </w:p>
    <w:p>
      <w:pPr>
        <w:pStyle w:val="Heading2"/>
      </w:pPr>
      <w:r>
        <w:t>Interior Typeface Standard (added v1.26; revised v1.27)</w:t>
      </w:r>
    </w:p>
    <w:p>
      <w:pPr>
        <w:pStyle w:val="ListBullet"/>
      </w:pPr>
      <w:r>
        <w:t>All Digital Study interiors use one typeface family, Roboto, in its four true faces: Regular, Italic, Bold and Bold Italic. This covers headings, body text, callouts, tables, the Table of Contents, outlines, footers and the final imprint.</w:t>
      </w:r>
    </w:p>
    <w:p>
      <w:pPr>
        <w:pStyle w:val="ListBullet"/>
      </w:pPr>
      <w:r>
        <w:t>No other typeface, theme font or fallback font may appear in an interior PDF. Bullet and list symbols use a Roboto glyph, not a symbol font.</w:t>
      </w:r>
    </w:p>
    <w:p>
      <w:pPr>
        <w:pStyle w:val="ListBullet"/>
      </w:pPr>
      <w:r>
        <w:t>Numerals are Roboto’s standard lining numerals.</w:t>
      </w:r>
    </w:p>
    <w:p>
      <w:pPr>
        <w:pStyle w:val="ListBullet"/>
      </w:pPr>
      <w:r>
        <w:t>Production uses static font files for all four faces, installed at build time, with the heading font set explicitly. Synthesized bold or italic is not permitted. The static Roboto files are kept in the repository’s fonts/ folder.</w:t>
      </w:r>
    </w:p>
    <w:p>
      <w:pPr>
        <w:pStyle w:val="ListBullet"/>
      </w:pPr>
      <w:r>
        <w:t>Stage 4 must confirm from the rendered PDF’s font list that only Roboto faces are embedded.</w:t>
      </w:r>
    </w:p>
    <w:p>
      <w:pPr>
        <w:pStyle w:val="ListBullet"/>
      </w:pPr>
      <w:r>
        <w:t>This applies to all Digital Studies, past, present and future, and to Doctrinal Packets. Covers remain governed by Section 2. An earlier study moves to this standard when it is reopened or when the publisher directs it. This revision supersedes the EB Garamond requirement of v1.26.</w:t>
      </w:r>
    </w:p>
    <w:p>
      <w:pPr>
        <w:pStyle w:val="Heading1"/>
      </w:pPr>
      <w:r>
        <w:t>9. Production Control</w:t>
      </w:r>
    </w:p>
    <w:p>
      <w:pPr/>
      <w:r>
        <w:t>These standards are mandatory for the Zay-Marie Press Digital Studies series unless the publisher explicitly reopens and revises a standard. Subject matter may determine titles, imagery, section count, and the precise content of exercises, but it does not alter the required cover architecture, interior sequence, callout controls, TOC requirements, or closing instructional components.</w:t>
      </w:r>
    </w:p>
    <w:p>
      <w:pPr>
        <w:pStyle w:val="Heading2"/>
      </w:pPr>
      <w:r>
        <w:t>Content-Depth and Page-Length Standard (revised v1.21)</w:t>
      </w:r>
    </w:p>
    <w:p>
      <w:pPr/>
      <w:r>
        <w:t>Every completed Zay-Marie Press Digital Study must contain 15 substantive interior pages. The retained cover is added as the first physical page and does not satisfy the interior content-depth requirement.</w:t>
      </w:r>
    </w:p>
    <w:p>
      <w:pPr/>
      <w:r>
        <w:t>The 15-page requirement is a content-depth standard, not permission to pad a study. No study may be lengthened with repetition, redundant summaries, oversized spacing, unnecessary visuals, low-value exercises, artificial page breaks, filler paragraphs, or other material added merely to reach the page count.</w:t>
      </w:r>
    </w:p>
    <w:p>
      <w:pPr/>
      <w:r>
        <w:t>When a draft falls short of 15 substantive interior pages, it must be developed before publication. Expansion should come only from material that genuinely improves the reader’s understanding, such as closer exegesis, additional Scripture tracing, difficult-text analysis, contextual clarification, worked examples, diagnostic distinctions, historical background where relevant, or meaningful teaching/application development.</w:t>
      </w:r>
    </w:p>
    <w:p>
      <w:pPr/>
      <w:r>
        <w:t>When the substantive interior exceeds 15 pages, it must be tightened, divided, or restructured without sacrificing necessary biblical argument or instructional clarity. The governing objective is reader value: every Digital Study must provide sufficient depth for the reader to trace the argument from Scripture, understand the interpretive problem, explain the controlling distinctions, and reproduce the reasoning. No fluff. No bloat.</w:t>
      </w:r>
    </w:p>
    <w:p>
      <w:pPr>
        <w:pStyle w:val="Heading2"/>
      </w:pPr>
      <w:r>
        <w:t>Visual Enhancement &amp; Image Recommendation Standard</w:t>
      </w:r>
    </w:p>
    <w:p>
      <w:pPr/>
      <w:r>
        <w:t>During the development and review of every Digital Study, actively evaluate whether an image, photograph, diagram, chart, timeline, map, or other visual would materially improve the reader’s understanding or the overall instructional quality of the study.</w:t>
      </w:r>
    </w:p>
    <w:p>
      <w:pPr/>
      <w:r>
        <w:t>A visual should be recommended only when it adds genuine instructional value rather than decoration, corresponds naturally to a specific passage, argument, historical event, doctrinal distinction, or teaching point, and can fit comfortably into the page architecture without crowding text, callouts, tables, headings, or other elements.</w:t>
      </w:r>
    </w:p>
    <w:p>
      <w:pPr/>
      <w:r>
        <w:t>When a worthwhile visual opportunity is identified, recommend the specific type of visual and its exact proposed placement in the study. New visuals are substantive design decisions and must be presented for approval before integration. Once a visual has been approved, routine production adjustments required to place it cleanly do not require repeated approval unless the adjustment materially changes the approved visual or its purpose.</w:t>
      </w:r>
    </w:p>
    <w:p>
      <w:pPr/>
      <w:r>
        <w:t>Avoid unnecessary visual repetition. If a strong image is already serving as the principal cover artwork, do not automatically repeat the same image in the interior unless the second use provides distinct instructional value.</w:t>
      </w:r>
    </w:p>
    <w:p>
      <w:pPr/>
      <w:r>
        <w:t>All approved visuals must preserve the Digital Studies publisher-grade standard: appropriate resolution, legibility at normal PDF viewing and print size, balanced placement, adequate surrounding white space, and no clipping, crowding, distortion, or disruption of page flow.</w:t>
      </w:r>
    </w:p>
    <w:p>
      <w:pPr/>
      <w:r>
        <w:t>Visual placement and final appearance must be judged from the rendered PDF, which is the authoritative visual/publisher-grade review copy. The DOCX remains the editable production master.</w:t>
      </w:r>
    </w:p>
    <w:p>
      <w:pPr>
        <w:pStyle w:val="Heading1"/>
      </w:pPr>
      <w:r>
        <w:t>10. Final-Page Imprint and Vertical-Spacing Control</w:t>
      </w:r>
    </w:p>
    <w:p>
      <w:pPr/>
      <w:r>
        <w:t>The Zay-Marie Press Digital Studies publication/imprint block must follow the final body content using a fixed 18 pt separation. It must not be vertically distributed, pushed toward the bottom margin, or positioned with blank paragraphs, floating text boxes, page-filling spacers, or other artificial vertical-positioning devices.</w:t>
      </w:r>
    </w:p>
    <w:p>
      <w:pPr/>
      <w:r>
        <w:t>The imprint block consists of “ZAY-MARIE PRESS DIGITAL STUDIES” followed by the standard copyright and personal-use notice. The imprint heading uses 18 pt space before and 5 pt space after; the copyright notice uses 0 pt space before. The imprint heading must remain with the copyright notice, and the copyright notice must remain together as a unit.</w:t>
      </w:r>
    </w:p>
    <w:p>
      <w:pPr/>
      <w:r>
        <w:t>The standard copyright and personal-use notice appears only in this end imprint. A study has no front copyright page, and the first interior page after the cover is the Table of Contents. The standard notice reads, in full: “Copyright © 2026 Alexander S. Marien. All rights reserved. Published by Zay-Marie Press. Licensed for the personal use of the purchaser; no part may be reproduced or distributed without permission. Scripture quotations are from the King James Version (KJV).” The Scripture-quotation sentence is part of the standard notice in every Digital Study, because every study quotes the King James Version; a study whose end imprint lacks it is brought to the standard wording when reopened or retrofitted.</w:t>
      </w:r>
    </w:p>
    <w:p>
      <w:pPr/>
      <w:r>
        <w:t>If insufficient room remains on the final page for the complete imprint block, the entire imprint block moves to the next page. Do not create abnormal white space between Final Synthesis and the imprint in order to force bottom-page placement.</w:t>
      </w:r>
    </w:p>
    <w:p>
      <w:pPr/>
      <w:r>
        <w:rPr>
          <w:b/>
        </w:rPr>
        <w:t>GLOBAL VERTICAL-SPACING RULE:</w:t>
      </w:r>
      <w:r>
        <w:t xml:space="preserve"> Blank paragraphs must never be used to control vertical spacing in a Digital Study. Spacing around headings, body paragraphs, callouts, tables, diagrams, visuals, exercises, and the final imprint must be controlled through paragraph/table space-before and space-after settings. The rendered PDF is the authoritative visual check.</w:t>
      </w:r>
    </w:p>
    <w:p>
      <w:pPr>
        <w:pStyle w:val="Heading1"/>
      </w:pPr>
      <w:r>
        <w:t>11. Interior Footer Standard</w:t>
      </w:r>
    </w:p>
    <w:p>
      <w:pPr>
        <w:pStyle w:val="ListBullet"/>
      </w:pPr>
      <w:r>
        <w:t>Every interior page of every Digital Study must display the series footer: “ZAY-MARIE PRESS DIGITAL STUDIES SERIES.”</w:t>
      </w:r>
    </w:p>
    <w:p>
      <w:pPr>
        <w:pStyle w:val="ListBullet"/>
      </w:pPr>
      <w:r>
        <w:t>The approved cover page must not display the interior footer.</w:t>
      </w:r>
    </w:p>
    <w:p>
      <w:pPr>
        <w:pStyle w:val="ListBullet"/>
      </w:pPr>
      <w:r>
        <w:t>The footer must use compact, professional typography and remain visually subordinate to the study content.</w:t>
      </w:r>
    </w:p>
    <w:p>
      <w:pPr>
        <w:pStyle w:val="ListBullet"/>
      </w:pPr>
      <w:r>
        <w:t>The footer must be positioned consistently on the same baseline throughout the interior and must not crowd body text, tables, callouts, visuals, or the final imprint. The interior footer is a single centered line, “ZAY-MARIE PRESS DIGITAL STUDIES SERIES • N” (N is the page number), Roboto, on the same baseline on every interior page, centered on the page width; the cover has no footer.</w:t>
      </w:r>
    </w:p>
    <w:p>
      <w:pPr>
        <w:pStyle w:val="ListBullet"/>
      </w:pPr>
      <w:r>
        <w:t>Visible interior page numbering must remain present and consistent with the established Digital Studies architecture.</w:t>
      </w:r>
    </w:p>
    <w:p>
      <w:pPr>
        <w:pStyle w:val="ListBullet"/>
      </w:pPr>
      <w:r>
        <w:t>The rendered PDF is the final authority for footer placement, page-number visibility, and clearance from the bottom margin.</w:t>
      </w:r>
    </w:p>
    <w:p>
      <w:pPr>
        <w:pStyle w:val="Heading1"/>
      </w:pPr>
      <w:r>
        <w:t>12. Website Page-Count Disclosure Standard</w:t>
      </w:r>
    </w:p>
    <w:p>
      <w:pPr>
        <w:pStyle w:val="ListBullet"/>
      </w:pPr>
      <w:r>
        <w:t>Every individual Digital Study preview page must display the verified finished-PDF page count in the hero purchase line.</w:t>
      </w:r>
    </w:p>
    <w:p>
      <w:pPr>
        <w:pStyle w:val="ListBullet"/>
      </w:pPr>
      <w:r>
        <w:t>Use the format “DIGITAL PDF · [NUMBER] PAGES” beside the study price. The main catalog cards remain uncluttered and do not require page counts.</w:t>
      </w:r>
    </w:p>
    <w:p>
      <w:pPr>
        <w:pStyle w:val="ListBullet"/>
      </w:pPr>
      <w:r>
        <w:t>The page count must be taken from the approved final PDF after production formatting and pagination are complete. Draft counts, estimates, DOCX page counts, and counts inferred from preview images are not permitted.</w:t>
      </w:r>
    </w:p>
    <w:p>
      <w:pPr>
        <w:pStyle w:val="ListBullet"/>
      </w:pPr>
      <w:r>
        <w:t>If a final PDF is revised and its pagination changes, the individual preview page must be updated in the same publication cycle so the displayed count remains accurate.</w:t>
      </w:r>
    </w:p>
    <w:p>
      <w:pPr>
        <w:pStyle w:val="ListBullet"/>
      </w:pPr>
      <w:r>
        <w:t>Page-count verification is part of final website QA and must be completed before the study is considered published.</w:t>
      </w:r>
    </w:p>
    <w:p>
      <w:pPr>
        <w:pStyle w:val="Heading1"/>
      </w:pPr>
      <w:r>
        <w:t>13. Tables Symbols and Contrast Standard</w:t>
      </w:r>
    </w:p>
    <w:p>
      <w:pPr>
        <w:pStyle w:val="ListBullet"/>
      </w:pPr>
      <w:r>
        <w:t>Table header rows must use the approved slate blue treatment with high-contrast light text.</w:t>
      </w:r>
    </w:p>
    <w:p>
      <w:pPr>
        <w:pStyle w:val="ListBullet"/>
      </w:pPr>
      <w:r>
        <w:t>Table body rows are plain white. Header rows are Slate Blue (#3B6E91) with white text. Colored or tinted body rows are not used.</w:t>
      </w:r>
    </w:p>
    <w:p>
      <w:pPr>
        <w:pStyle w:val="ListBullet"/>
      </w:pPr>
      <w:r>
        <w:t>Keep 10 pt of controlled spacing before and after every table. Do not create table spacing with blank paragraphs.</w:t>
      </w:r>
    </w:p>
    <w:p>
      <w:pPr>
        <w:pStyle w:val="ListBullet"/>
      </w:pPr>
      <w:r>
        <w:t>Use compact but sufficient cell padding. Table text must not touch cell borders, and tables must not crowd adjacent callouts or headings.</w:t>
      </w:r>
    </w:p>
    <w:p>
      <w:pPr>
        <w:pStyle w:val="ListBullet"/>
      </w:pPr>
      <w:r>
        <w:t>Every table cell, header and body alike, must have a visible single-line border on all four edges in a dark tone (matching or near the blue header treatment). Light-gray, faint, or absent borders are not permitted; gridlines must be clearly legible in the rendered PDF.</w:t>
      </w:r>
    </w:p>
    <w:p>
      <w:pPr>
        <w:pStyle w:val="ListBullet"/>
      </w:pPr>
      <w:r>
        <w:t>Verify all comparison symbols, especially the not-equal sign (≠), in the rendered PDF. A broken, substituted, or missing glyph must be corrected before approval.</w:t>
      </w:r>
    </w:p>
    <w:p>
      <w:pPr>
        <w:pStyle w:val="Heading1"/>
      </w:pPr>
      <w:r>
        <w:t>14. Study Development and Approval Workflow</w:t>
      </w:r>
    </w:p>
    <w:p>
      <w:pPr/>
      <w:r>
        <w:t>The following workflow governs each new Digital Study. Routine production work may proceed continuously, but substantive doctrinal, editorial, cover, or publication decisions require the publisher’s approval at the appropriate checkpoint.</w:t>
      </w:r>
    </w:p>
    <w:p>
      <w:pPr>
        <w:pStyle w:val="Heading2"/>
      </w:pPr>
      <w:r>
        <w:t>Stage 1 Subject and Positioning</w:t>
      </w:r>
    </w:p>
    <w:p>
      <w:pPr/>
      <w:r>
        <w:t>Define the subject, working title, subtitle, and category. Audit the existing catalog for overlap. When two studies address related material, state their distinct purposes clearly and plan reciprocal distinction language for both preview pages when needed. Assign the category by the Catalog Category Standard (Section 19): apply its decision procedure and precedents, and state the category and a one-line reason; the publisher is not asked to choose it.</w:t>
      </w:r>
    </w:p>
    <w:p>
      <w:pPr>
        <w:pStyle w:val="Heading2"/>
      </w:pPr>
      <w:r>
        <w:t>Stage 2 Doctrinal and Content Architecture</w:t>
      </w:r>
    </w:p>
    <w:p>
      <w:pPr/>
      <w:r>
        <w:t>Develop the study under the controlling doctrinal framework and the Acts Overlap model. Build the required sequence, determine the necessary teaching sections, identify major passages, and confirm that the subject can support 15 substantive interior pages without repetition or filler.</w:t>
      </w:r>
    </w:p>
    <w:p>
      <w:pPr>
        <w:pStyle w:val="Heading2"/>
      </w:pPr>
      <w:r>
        <w:t>Stage 3 Draft and Production Master</w:t>
      </w:r>
    </w:p>
    <w:p>
      <w:pPr/>
      <w:r>
        <w:t>Create the DOCX production master and PDF review copy. Apply the approved heading hierarchy, dark-navy interior typography set in Roboto in all four faces per the Interior Typeface Standard (Section 8), callout treatment, table treatment, page numbers, interior footer, final imprint, and controlled vertical spacing.</w:t>
      </w:r>
    </w:p>
    <w:p>
      <w:pPr>
        <w:pStyle w:val="Heading2"/>
      </w:pPr>
      <w:r>
        <w:t>Stage 4 Production Audit</w:t>
      </w:r>
    </w:p>
    <w:p>
      <w:pPr/>
      <w:r>
        <w:t>Audit spacing, TOC hierarchy and page numbers, Study Outline placement, callout padding, table contrast, symbol rendering, typeface compliance (only Roboto faces embedded, per Section 8), page breaks, footer clearance, final imprint placement, the 15-page substantive-interior standard, and the retained cover page. The rendered PDF is the final visual authority; the DOCX remains the editable production master.</w:t>
      </w:r>
    </w:p>
    <w:p>
      <w:pPr>
        <w:pStyle w:val="Heading2"/>
      </w:pPr>
      <w:r>
        <w:t>Stage 5 Cover Production</w:t>
      </w:r>
    </w:p>
    <w:p>
      <w:pPr/>
      <w:r>
        <w:t>Draft a written cover art brief describing the recommended image concept, composition, palette, lighting, and symbolic content for the study, per the Cover Art Brief standard in Section 2, and provide it to the publisher for the illustrator. Once the publisher returns the finished artwork, prepare the cover with the approved full-bleed forward template. Develop a text-free 2:3 subject image, then assemble the upper-right category, centered bold sans-serif title and subtitle, and bottom-centered “DIGITAL STUDIES SERIES” imprint deterministically. Export at 1600 × 2400 pixels, inspect at full size and 320 × 480 pixels, and obtain approval before integration. Retain the approved cover as the first physical page of both final files, keep the interior title page immediately after it, preserve interior pagination, and recheck every cover safe margin after PDF assembly.</w:t>
      </w:r>
    </w:p>
    <w:p>
      <w:pPr>
        <w:pStyle w:val="Heading2"/>
      </w:pPr>
      <w:r>
        <w:t>Stage 6 Final Content Approval</w:t>
      </w:r>
    </w:p>
    <w:p>
      <w:pPr/>
      <w:r>
        <w:t>Present the corrected final PDF for approval. After approval, do not rebuild or rewrite the study unless verification reveals an actual defect or the publisher expressly reopens the content.</w:t>
      </w:r>
    </w:p>
    <w:p>
      <w:pPr>
        <w:pStyle w:val="Heading2"/>
      </w:pPr>
      <w:r>
        <w:t>Stage 7 Website Package</w:t>
      </w:r>
    </w:p>
    <w:p>
      <w:pPr/>
      <w:r>
        <w:t>Create the catalog card, individual preview page, final web cover, and three interior preview images — the Table of Contents, the What You Will Learn page, and one further page of real substance — from the approved final PDF, selected under the Individual Study Preview Selection Standard (Section 16), with the preview-page language itself conforming to the Preview-Page Interpretive-Outcome Standard (Section 17). The catalog description must accurately reflect the preview-page narrative, vary its opening language across studies, and avoid repetitive formulas such as beginning every card with “Trace.”</w:t>
      </w:r>
    </w:p>
    <w:p>
      <w:pPr/>
      <w:r>
        <w:t>Display the verified final PDF page count on the individual preview page, add the study to the correct subject category and curated collection where applicable, update the sitemap, and add reciprocal distinction links when related studies require them. The About This Study section must also include the required second paragraph under the About This Study — Related-Study Distinction Standard (Section 18, added v1.22). The category follows the Catalog Category Standard (Section 19), the catalog card goes in that category’s section in number order, and the cover label uses that category’s fixed form.</w:t>
      </w:r>
    </w:p>
    <w:p>
      <w:pPr/>
      <w:r>
        <w:t>Every individual study page carries one schema.org Book structured-data block (JSON-LD) immediately before the closing head tag, built from the page itself: name (the h1), alternativeName (the subtitle), author (Alexander S. Marien), publisher (Zay-Marie Press), description (the hero paragraphs), image (the page’s own cover URL), url, inLanguage, isPartOf (BookSeries “Digital Studies Series”, with position N), bookFormat EBook, numberOfPages, and an Offer at 5.99 USD whose availability is PreOrder while checkout is closed (changed when checkout opens). It contains no internal working terms (reader-facing wording rule). Added v1.79. The page count is stated the same way everywhere: the site.js count (the complete final PDF including the cover), the hero line “Digital PDF · N Pages”, the structured-data numberOfPages, the What’s Included item “N-Page In-Depth Biblical Study” and the final buy panel “N-page digital PDF” all show one number, and any rebuild that changes the count updates all of them in the same pass.</w:t>
      </w:r>
    </w:p>
    <w:p>
      <w:pPr/>
      <w:r>
        <w:t>Questions Readers Ask finder (added v1.83). The Digital Studies page carries a box titled “Which Study Should I Start With?”, set between the Study Connections box and the Commentary Collection box: a five-row table (If your question is…, Start with, Then) and a link to the finder PDF, assets/zay-marie-press-questions-readers-ask.pdf. The five rows stay five unless the publisher rules otherwise. The PDF lists one reader-worded question for every Digital Study, grouped by the five catalog categories, each linking to the study’s page by number and title; it is set in Roboto only, 10 pt black body text, headings in Roboto Bold 17 pt in the established dark navy, on the study page size and margins, with the single centered footer line “ZAY-MARIE PRESS DIGITAL STUDIES SERIES • N”, and it is rebuilt from build-tools/questions-readers-ask/ (questions.md and build_qra.py). Every new study adds its question to questions.md in its category and number order, and the file is rebuilt in the same pass as the study’s website package. A question is worded as a reader would ask it, never states the study’s answer and carries no internal working term (reader-facing wording rule); the “all N Digital Studies” count and each category’s question range are updated by the rebuild. Check before publishing: Roboto is the only embedded font, no heading is stranded at the foot of a page, and every study link resolves. The Study Connections Guide is a separate document and still receives its own entry for each study.</w:t>
      </w:r>
    </w:p>
    <w:p>
      <w:pPr>
        <w:pStyle w:val="Heading2"/>
      </w:pPr>
      <w:r>
        <w:t>Stage 8 Repository Publication</w:t>
      </w:r>
    </w:p>
    <w:p>
      <w:pPr/>
      <w:r>
        <w:t>Use the normal repository workflow: inspect the existing local repository; confirm the intended branch and prepared changes; commit or confirm the prepared commit; push main directly to GitHub; allow the Cloudflare deployment to complete; and verify the live catalog, preview page, cover and preview assets, page count, navigation, reciprocal links, and sitemap entry.</w:t>
      </w:r>
    </w:p>
    <w:p>
      <w:pPr/>
      <w:r>
        <w:t>Use an alternate shared-browser upload process only when the normal repository workflow genuinely remains unavailable. Upload website pages to the repository root and media to the root assets directory. Never create duplicate page files inside assets or a nested assets/assets directory.</w:t>
      </w:r>
    </w:p>
    <w:p>
      <w:pPr>
        <w:pStyle w:val="Heading2"/>
      </w:pPr>
      <w:r>
        <w:t>Stage 9 Live Verification and Handoff</w:t>
      </w:r>
    </w:p>
    <w:p>
      <w:pPr/>
      <w:r>
        <w:t>Report the commit identifier, deployment result, live-page verification, and any limitation that prevented direct verification. Remove only confirmed misplaced duplicates, preserve correct production files, and never claim a live result that was not actually observed.</w:t>
      </w:r>
    </w:p>
    <w:p>
      <w:pPr>
        <w:pStyle w:val="Heading2"/>
      </w:pPr>
      <w:r>
        <w:t>Per-integration check and pre-launch audit (added v1.72)</w:t>
      </w:r>
    </w:p>
    <w:p>
      <w:pPr/>
      <w:r>
        <w:t>Publisher directive, 2026-10-07. While the website is not yet open to the public, each integration (each push) receives the light check: confirm origin/main matches the intended commit; confirm every image and link resolves on the new page and its hub tile; confirm the new page and its tile load on the live site; and make one phone-width check that nothing overflows sideways. A defect in shared code (stylesheet, script or shared layout) found in any check is fixed at once, with the usual approval and a rendered preview before the push. The exhaustive section-by-section screenshot walk at 390, 360 and 320 px, alignment and wording polish, and cross-page consistency checks are deferred to one full website audit of the final site before it opens to the public. Known deferred items are kept in controlling-documents/Pre_Launch_Audit_Deferred_Items_v1.0.md and the audit starts from that list. This relaxation applies only until that audit is complete; the publisher decides whether the full per-push check resumes after the site opens. Report every check as observed, and say plainly anything that could not be viewed.</w:t>
      </w:r>
    </w:p>
    <w:p>
      <w:pPr>
        <w:pStyle w:val="Heading1"/>
      </w:pPr>
      <w:r>
        <w:t>15. Approved Asset and File Controls</w:t>
      </w:r>
    </w:p>
    <w:p>
      <w:pPr>
        <w:pStyle w:val="ListBullet"/>
      </w:pPr>
      <w:r>
        <w:t>The approved final DOCX is the editable production master; the approved final PDF is the authoritative visual and pagination reference.</w:t>
      </w:r>
    </w:p>
    <w:p>
      <w:pPr>
        <w:pStyle w:val="ListBullet"/>
      </w:pPr>
      <w:r>
        <w:t>Generate website preview images only from the approved final PDF.</w:t>
      </w:r>
    </w:p>
    <w:p>
      <w:pPr>
        <w:pStyle w:val="ListBullet"/>
      </w:pPr>
      <w:r>
        <w:t>Use clear, predictable filenames for the study page, cover, and preview images; verify every referenced path before publication.</w:t>
      </w:r>
    </w:p>
    <w:p>
      <w:pPr>
        <w:pStyle w:val="ListBullet"/>
      </w:pPr>
      <w:r>
        <w:t>Preserve earlier approved covers and pages unless an actual defect is documented. Forward standards govern new studies and expressly reopened legacy studies.</w:t>
      </w:r>
    </w:p>
    <w:p>
      <w:pPr>
        <w:pStyle w:val="ListBullet"/>
      </w:pPr>
      <w:r>
        <w:t>Keep temporary experiments, rejected cover variants, and production intermediates out of the published asset paths.</w:t>
      </w:r>
    </w:p>
    <w:p>
      <w:pPr>
        <w:pStyle w:val="Heading1"/>
      </w:pPr>
      <w:r>
        <w:t>16. Individual Study Preview Selection Standard</w:t>
      </w:r>
    </w:p>
    <w:p>
      <w:pPr/>
      <w:r>
        <w:rPr>
          <w:b/>
        </w:rPr>
        <w:t>THE PREVIEW RULE:</w:t>
      </w:r>
      <w:r>
        <w:t xml:space="preserve"> Preview pages must give the reader confidence in the value, structure, and seriousness of the study without giving away any of the study’s doctrinal core. Every requirement in this section exists to serve that one governing principle: show the reader why the study matters, not what the study teaches.</w:t>
      </w:r>
    </w:p>
    <w:p>
      <w:pPr>
        <w:pStyle w:val="Heading2"/>
      </w:pPr>
      <w:r>
        <w:t>Required Preview Set (amended v1.18)</w:t>
      </w:r>
    </w:p>
    <w:p>
      <w:pPr/>
      <w:r>
        <w:t>Every Digital Study’s preview section consists of exactly three pages, each serving a distinct, non-overlapping function:</w:t>
      </w:r>
    </w:p>
    <w:p>
      <w:pPr>
        <w:pStyle w:val="ListBullet"/>
      </w:pPr>
      <w:r>
        <w:t>Table of Contents — shows the study’s full structure and scope at a glance, without disclosing any teaching content.</w:t>
      </w:r>
    </w:p>
    <w:p>
      <w:pPr>
        <w:pStyle w:val="ListBullet"/>
      </w:pPr>
      <w:r>
        <w:t>What You Will Learn in This Study — states the value the reader receives and the outline the study follows.</w:t>
      </w:r>
    </w:p>
    <w:p>
      <w:pPr>
        <w:pStyle w:val="ListBullet"/>
      </w:pPr>
      <w:r>
        <w:t>One further page of real substance — a page drawn from the study’s actual teaching that shows the publisher’s clarity, depth, and teaching style, without giving away the study’s thesis, conclusions, or key proof texts.</w:t>
      </w:r>
    </w:p>
    <w:p>
      <w:pPr>
        <w:pStyle w:val="Heading2"/>
      </w:pPr>
      <w:r>
        <w:t>What the Third Preview Page May Show</w:t>
      </w:r>
    </w:p>
    <w:p>
      <w:pPr>
        <w:pStyle w:val="ListBullet"/>
      </w:pPr>
      <w:r>
        <w:t>Value — pages that tell the reader what they will learn.</w:t>
      </w:r>
    </w:p>
    <w:p>
      <w:pPr>
        <w:pStyle w:val="ListBullet"/>
      </w:pPr>
      <w:r>
        <w:t>Structure — pages that show the outline, architecture, or flow of the study.</w:t>
      </w:r>
    </w:p>
    <w:p>
      <w:pPr>
        <w:pStyle w:val="ListBullet"/>
      </w:pPr>
      <w:r>
        <w:t>Purpose — pages that frame the doctrinal problem the study solves, without resolving it.</w:t>
      </w:r>
    </w:p>
    <w:p>
      <w:pPr>
        <w:pStyle w:val="ListBullet"/>
      </w:pPr>
      <w:r>
        <w:t>Tone and Quality — pages that demonstrate the publisher’s clarity, precision, and teaching style without stating the study’s conclusions.</w:t>
      </w:r>
    </w:p>
    <w:p>
      <w:pPr>
        <w:pStyle w:val="Heading2"/>
      </w:pPr>
      <w:r>
        <w:t>What Preview Pages Must Never Show</w:t>
      </w:r>
    </w:p>
    <w:p>
      <w:pPr>
        <w:pStyle w:val="ListBullet"/>
      </w:pPr>
      <w:r>
        <w:t>Core doctrinal exposition — any page presenting the study’s central teaching sections, key proof texts, or the resolution of the doctrinal question the study answers.</w:t>
      </w:r>
    </w:p>
    <w:p>
      <w:pPr>
        <w:pStyle w:val="ListBullet"/>
      </w:pPr>
      <w:r>
        <w:t>Any section that resolves the doctrinal tension the study raises, including a Study Summary, Key Distinctions to Retain, Teaching Outline, or Final Synthesis Exercise, even when framed as an exercise rather than exposition — these sections compress or restate the study’s conclusions.</w:t>
      </w:r>
    </w:p>
    <w:p>
      <w:pPr>
        <w:pStyle w:val="ListBullet"/>
      </w:pPr>
      <w:r>
        <w:t>Consecutive pages that reveal a large share of the study, with one narrow exception: the Table of Contents and the What You Will Learn page may fall on adjacent physical pages, since neither discloses doctrinal content. No other pair of preview pages may be consecutive.</w:t>
      </w:r>
    </w:p>
    <w:p>
      <w:pPr>
        <w:pStyle w:val="Heading2"/>
      </w:pPr>
      <w:r>
        <w:t>Page Count</w:t>
      </w:r>
    </w:p>
    <w:p>
      <w:pPr/>
      <w:r>
        <w:t>Three pages — the Table of Contents, the What You Will Learn page, and one further compliant page of real substance — is the standard for every study, replacing the prior four-page target. If no third page in a given study satisfies both what this section allows and what it forbids, use only the Table of Contents and the What You Will Learn page rather than filling the slot with a borderline or content-revealing page. Set the preview grid’s column count to match the number of previews actually used for that study.</w:t>
      </w:r>
    </w:p>
    <w:p>
      <w:pPr>
        <w:pStyle w:val="Heading2"/>
      </w:pPr>
      <w:r>
        <w:t>Production Mechanics</w:t>
      </w:r>
    </w:p>
    <w:p>
      <w:pPr>
        <w:pStyle w:val="ListBullet"/>
      </w:pPr>
      <w:r>
        <w:t>Generate each preview image from the approved final PDF and resize it to match the pixel dimensions of the study’s existing sibling assets; verify dimensions before upload.</w:t>
      </w:r>
    </w:p>
    <w:p>
      <w:pPr>
        <w:pStyle w:val="ListBullet"/>
      </w:pPr>
      <w:r>
        <w:t>Each preview card’s heading and one-sentence description must describe the page’s function without stating or hinting at the actual answers, conclusions, or teaching content on that page.</w:t>
      </w:r>
    </w:p>
    <w:p>
      <w:pPr>
        <w:pStyle w:val="ListBullet"/>
      </w:pPr>
      <w:r>
        <w:t>Use the filename pattern study-XX-page-N.jpg, where N is the interior page number referenced in the corresponding HTML preview-card link; verify the referenced path resolves correctly before publication.</w:t>
      </w:r>
    </w:p>
    <w:p>
      <w:pPr>
        <w:pStyle w:val="ListBullet"/>
      </w:pPr>
      <w:r>
        <w:t>This standard governs new studies going forward and any legacy study whose preview section is expressly reopened; it does not require retrofitting studies not otherwise being revised.</w:t>
      </w:r>
    </w:p>
    <w:p>
      <w:pPr>
        <w:pStyle w:val="Heading1"/>
      </w:pPr>
      <w:r>
        <w:t>17. Preview-Page Interpretive-Outcome Standard (added v1.24)</w:t>
      </w:r>
    </w:p>
    <w:p>
      <w:pPr/>
      <w:r>
        <w:rPr>
          <w:b/>
        </w:rPr>
        <w:t>THE OUTCOME RULE:</w:t>
      </w:r>
      <w:r>
        <w:t xml:space="preserve"> Preview pages must state interpretive outcomes, not doctrinal conclusions. They must describe the textual work the reader will perform, not reveal the final identification or answer the study will establish. Preview pages promise mastery — they do not pre-empt discovery.</w:t>
      </w:r>
    </w:p>
    <w:p>
      <w:pPr>
        <w:pStyle w:val="Heading2"/>
      </w:pPr>
      <w:r>
        <w:t>Where This Applies</w:t>
      </w:r>
    </w:p>
    <w:p>
      <w:pPr/>
      <w:r>
        <w:t>This standard governs the “What You Will Learn in This Study” page inside the interior PDF (Section 3, item 4) and the website’s “What You’ll Study” section referenced in the Stage 7 website-package workflow (Section 14) — the same preview promise stated in two places, held to the same rule.</w:t>
      </w:r>
    </w:p>
    <w:p>
      <w:pPr>
        <w:pStyle w:val="Heading2"/>
      </w:pPr>
      <w:r>
        <w:t>What a Preview Point Must Not Do</w:t>
      </w:r>
    </w:p>
    <w:p>
      <w:pPr>
        <w:pStyle w:val="ListBullet"/>
      </w:pPr>
      <w:r>
        <w:t>Reveal the identity of a figure, person, company, or event before the study itself presents it.</w:t>
      </w:r>
    </w:p>
    <w:p>
      <w:pPr>
        <w:pStyle w:val="ListBullet"/>
      </w:pPr>
      <w:r>
        <w:t>State the study’s doctrinal conclusion or final identification outright.</w:t>
      </w:r>
    </w:p>
    <w:p>
      <w:pPr>
        <w:pStyle w:val="ListBullet"/>
      </w:pPr>
      <w:r>
        <w:t>Collapse the discovery process the study is built to walk the reader through.</w:t>
      </w:r>
    </w:p>
    <w:p>
      <w:pPr>
        <w:pStyle w:val="ListBullet"/>
      </w:pPr>
      <w:r>
        <w:t>Pre-empt the study’s narrative arc.</w:t>
      </w:r>
    </w:p>
    <w:p>
      <w:pPr>
        <w:pStyle w:val="Heading2"/>
      </w:pPr>
      <w:r>
        <w:t>What a Preview Point Must Do Instead</w:t>
      </w:r>
    </w:p>
    <w:p>
      <w:pPr>
        <w:pStyle w:val="ListBullet"/>
      </w:pPr>
      <w:r>
        <w:t>Describe the process the reader will follow.</w:t>
      </w:r>
    </w:p>
    <w:p>
      <w:pPr>
        <w:pStyle w:val="ListBullet"/>
      </w:pPr>
      <w:r>
        <w:t>Name the specific textual markers, terms, or cross-references the reader will trace.</w:t>
      </w:r>
    </w:p>
    <w:p>
      <w:pPr>
        <w:pStyle w:val="ListBullet"/>
      </w:pPr>
      <w:r>
        <w:t>State the interpretive discipline being taught, not the answer it produces.</w:t>
      </w:r>
    </w:p>
    <w:p>
      <w:pPr>
        <w:pStyle w:val="Heading2"/>
      </w:pPr>
      <w:r>
        <w:t>Example</w:t>
      </w:r>
    </w:p>
    <w:p>
      <w:pPr/>
      <w:r>
        <w:t>Not permitted: “Identify the male child of 12:5 as the 144,000…” — states the conclusion before the reader begins.</w:t>
      </w:r>
    </w:p>
    <w:p>
      <w:pPr/>
      <w:r>
        <w:t>Compliant: “Trace the identity of the male child in 12:5 by following the chapter’s own textual markers — including the term ‘caught up’ (harpazō) and the later appearance of a sealed firstfruits company in Revelation 14:1–5.”</w:t>
      </w:r>
    </w:p>
    <w:p>
      <w:pPr>
        <w:pStyle w:val="Heading2"/>
      </w:pPr>
      <w:r>
        <w:t>Retrofit Scope</w:t>
      </w:r>
    </w:p>
    <w:p>
      <w:pPr/>
      <w:r>
        <w:t>This standard governs every new study going forward. For studies published before v1.24, revise preview-page language when the study’s preview section is otherwise reopened for revision, or when the publisher directs a retrofit; it does not require immediate blanket republication of every existing study page.</w:t>
      </w:r>
    </w:p>
    <w:p>
      <w:pPr>
        <w:pStyle w:val="Heading1"/>
      </w:pPr>
      <w:r>
        <w:t>18. About This Study — Related-Study Distinction Standard (added v1.22)</w:t>
      </w:r>
    </w:p>
    <w:p>
      <w:pPr/>
      <w:r>
        <w:rPr>
          <w:b/>
        </w:rPr>
        <w:t>THE DISTINCTION RULE:</w:t>
      </w:r>
      <w:r>
        <w:t xml:space="preserve"> A reader who already owns, or is considering, a neighboring study must be able to see, before buying, exactly which ground this study does not cover and which single question it alone answers. Every requirement in this section exists to serve that one governing principle.</w:t>
      </w:r>
    </w:p>
    <w:p>
      <w:pPr>
        <w:pStyle w:val="Heading2"/>
      </w:pPr>
      <w:r>
        <w:t>Required Second Paragraph</w:t>
      </w:r>
    </w:p>
    <w:p>
      <w:pPr/>
      <w:r>
        <w:t>Every individual Study’s About This Study section on the website must include a second paragraph, placed immediately after the section’s opening explanatory paragraph and before the How These Studies Relate box. This paragraph must:</w:t>
      </w:r>
    </w:p>
    <w:p>
      <w:pPr>
        <w:pStyle w:val="ListBullet"/>
      </w:pPr>
      <w:r>
        <w:t>Name, by number and title, each closely neighboring study a reader might otherwise confuse this study with — ordinarily the same studies listed as related-study links later on the page.</w:t>
      </w:r>
    </w:p>
    <w:p>
      <w:pPr>
        <w:pStyle w:val="ListBullet"/>
      </w:pPr>
      <w:r>
        <w:t>State plainly, for each study named, the specific ground that study covers which this study does not, or the shared topic and the line this study does not cross.</w:t>
      </w:r>
    </w:p>
    <w:p>
      <w:pPr>
        <w:pStyle w:val="ListBullet"/>
      </w:pPr>
      <w:r>
        <w:t>Close with one sentence stating the single, narrower question this study alone sets out to answer.</w:t>
      </w:r>
    </w:p>
    <w:p>
      <w:pPr>
        <w:pStyle w:val="Heading2"/>
      </w:pPr>
      <w:r>
        <w:t>Content Standard</w:t>
      </w:r>
    </w:p>
    <w:p>
      <w:pPr/>
      <w:r>
        <w:t>This paragraph is substantive orientation, not a transition sentence or filler. It must accurately reflect the actual boundary between the studies’ subjects, drawn from each study’s own content, not a generic restatement that could apply to any study. It must not merely repeat the phrasing of the How These Studies Relate box: that box’s one-line per-study descriptions serve a click-through function, while this paragraph orients the reader to the whole page before they reach that box.</w:t>
      </w:r>
    </w:p>
    <w:p>
      <w:pPr>
        <w:pStyle w:val="Heading2"/>
      </w:pPr>
      <w:r>
        <w:t>Retrofit Scope</w:t>
      </w:r>
    </w:p>
    <w:p>
      <w:pPr/>
      <w:r>
        <w:t>This standard governs every new study going forward. For studies published before v1.22, add this paragraph when the study’s About This Study section is otherwise reopened for revision, or when the publisher directs a retrofit; it does not require immediate blanket republication of every existing study page.</w:t>
      </w:r>
    </w:p>
    <w:p>
      <w:pPr>
        <w:pStyle w:val="Heading2"/>
      </w:pPr>
      <w:r>
        <w:t>Related-Links Box Standard (added v1.85)</w:t>
      </w:r>
    </w:p>
    <w:p>
      <w:pPr/>
      <w:r>
        <w:t>The “How These Studies Relate” box on every individual study page is split into two lists under one heading, set side by side in two columns on wide screens (to keep the page short) and stacked on phones. The first list, headed “Digital Studies,” holds at most three links to other Digital Studies. The second, headed “Commentary Series,” holds at most three links to commentary volumes in any commentary series, chosen where a volume argues the same passages or subject that the study reports, with a one-line statement of what the volume argues and what the study does not. Each list is used only where it has a real neighbour; a list is never padded to three, and a list with no neighbour is omitted with its heading. The connection-guide link follows both lists. Commentary volumes remain outside the Digital Studies catalog, bundles and Library Edition, and the volume links are cross-references only. This governs every new study. First applied to Study 81 (Acts Commentary Series Volumes 2 and 4) and applied to the 80 earlier studies on 2026-10-10 (v1.86). The Study Connections Guide entry for each such study carries the same commentary volumes, with their notes, under the heading “Commentary volumes on the same passages.” A study with no real commentary neighbour keeps the single Digital Studies list, and a new commentary volume is checked against the study pages for neighbours in the same pass as its website package.</w:t>
      </w:r>
    </w:p>
    <w:p>
      <w:pPr>
        <w:pStyle w:val="Heading2"/>
      </w:pPr>
      <w:r>
        <w:t>Cross-Reference Notes: Parable Studies and Doctrinal Packets (added v1.88)</w:t>
      </w:r>
    </w:p>
    <w:p>
      <w:pPr/>
      <w:r>
        <w:t>Two further products are cross-referenced from a study page as notes set below the Related-Links box, in the same note style as the earlier parable notes, outside the two lists and their three-link cap. A parable note (“From the Parables Strand”) appears only where a Parable Study treats the study’s own passage or subject; its sentence says what the parable does and what the study does, names each parable by its title, and never describes the genre of an account the study leaves open. A packet note (“From the Doctrinal Packets”) appears only where one book carries the majority of the study’s Scripture references and that book’s Doctrinal Packet already points to the study; the sentence reads “The Doctrinal Packet on [book] interprets the book through its key passages in five pages; Study N [what the study reads].” A packet is never described as surveying the whole book, because a packet selects the passages that carry the book’s doctrine, and a study whose Scripture spreads across several books carries no packet note. Each note follows the reader-facing wording rule (no internal working terms). The Study Connections Guide entry for a study with a note carries the same links under “From the Parable Studies” and “From the Doctrinal Packets”. Neither product is added to the Digital Studies bundles or Library Edition. For every new study, Claude checks for parable and packet neighbours in the same pass as its website package and states the result in the delivery message. Applied 2026-10-10: parable notes on 16 studies (2, 7, 9, 21, 22, 29, 31, 33, 41, 49, 54, 58, 59, 64, 79, 80) and packet notes on 30 studies (10, 11, 13, 14, 15, 17, 18, 19, 20, 23, 24, 25, 26, 28, 30, 34, 36, 38, 47, 54, 57, 61, 62, 63, 64, 65, 66, 70, 76, 77).</w:t>
      </w:r>
    </w:p>
    <w:p>
      <w:pPr>
        <w:pStyle w:val="Heading2"/>
      </w:pPr>
      <w:r>
        <w:t>Related Reading Box on Every Product Page (added v1.89)</w:t>
      </w:r>
    </w:p>
    <w:p>
      <w:pPr/>
      <w:r>
        <w:t>The Related-Links Box format is carried by every commentary volume page, every Parable Study page and every Doctrinal Packet page, under the heading “Related Reading”, so that the four products cross-reference one another in one structure. The box has up to four lists — Digital Studies, Commentary Series, Parable Studies and Doctrinal Packets — each holding at most three links, each shown only where it has a real neighbour (never padded), set side by side in two columns on wide screens and stacked on phones, with each link followed by a one-line note and the page’s own guide link closing the box. Commentary volume pages: Digital Studies are the studies that already link back to the volume, then the studies the page listed before, then its former “read first” list (retired); Commentary Series are the volume’s existing links to other volumes, trimmed to three; Parable Studies appear only where the volume’s own Standard cites the parable’s passage (Gospel Volumes 1 and 3, Prophecy &amp; Mystery Volume 5, Typology Volume 2); Doctrinal Packets are the one to three books that carry the volume’s Scripture. Parable Study pages: Digital Studies are the studies the page already linked plus any study that links back (a study’s own description is used where one note served several studies); Commentary Series are the volumes that list the parable; Parable Studies are the parables the page’s own text names, then the nearest in its theme group; Doctrinal Packets are the Gospel book or books of its passage. Doctrinal Packet pages: the free Bible Book Summary link stays as the opening line; Digital Studies are the studies the packet already linked plus any that link back; Commentary Series are the volumes that list the packet (volumes where the book is the primary packet first); Parable Studies appear only where a parable’s passage falls in the packet’s own key passages (Matthew with The Sower and the Soils; Mark and Luke with The Fig Tree Lesson); Doctrinal Packets are companion books only, from these sets: 1, 2 and 3 John; 1 and 2 Samuel; 1 and 2 Kings; 1 and 2 Chronicles; 1 and 2 Corinthians; 1 and 2 Thessalonians; 1 and 2 Timothy with Titus; 1 and 2 Peter with Jude; Ezra with Nehemiah; Luke with Acts; Matthew, Mark and Luke; Ephesians, Colossians and Philemon. A packet is described as interpreting a book through its key passages, never as surveying the whole book, and no note carries an internal working term. Study pages keep the two-list box and the separate parable and packet notes of v1.85 to v1.88. When a new commentary volume, parable edition or packet is published, Claude checks the other products’ boxes for neighbours in the same pass as its website package and adds it where it is a real neighbour. Neither Parable Studies nor Doctrinal Packets enter the Digital Studies bundles or Library Edition through these links. Applied 2026-10-10 to 35 commentary volume pages, 35 Parable Study pages and 66 Doctrinal Packet pages.</w:t>
      </w:r>
    </w:p>
    <w:p w14:paraId="08049D58" w14:textId="77777777" w:rsidR="009D4E88" w:rsidRDefault="00CF123C">
      <w:pPr>
        <w:pStyle w:val="Heading1"/>
      </w:pPr>
      <w:r>
        <w:rPr/>
        <w:t>19. Catalog Category Standard (added v1.31)</w:t>
      </w:r>
    </w:p>
    <w:p w14:paraId="3414F9A2" w14:textId="77777777" w:rsidR="009D4E88" w:rsidRDefault="00CF123C">
      <w:r>
        <w:rPr/>
        <w:t>Every Digital Study has exactly one primary catalog category, assigned by its controlling subject. The five categories, the rules below, the decision procedure, the precedents and the 71 current assignments are final and binding by the publisher’s direction (2026-10-01). Claude does not ask the publisher where a study belongs and does not reopen an assigned study; only the publisher changes a ruling. For a new study Claude applies the procedure, places the card and cover label accordingly, and states the category with a one-line reason in the delivery message. The working copy of this standard, with its own version history, is controlling-documents/Digital_Studies_Category_Standard_v1.0.md. Collections, bundles and prices are separate and are not affected by a category.</w:t>
      </w:r>
    </w:p>
    <w:p w14:paraId="31BC0D84" w14:textId="77777777" w:rsidR="00B61C01" w:rsidRDefault="0049255F">
      <w:pPr>
        <w:pStyle w:val="Heading2"/>
      </w:pPr>
      <w:r>
        <w:rPr/>
        <w:t>The Five Categories</w:t>
      </w:r>
    </w:p>
    <w:p w14:paraId="165F46B7" w14:textId="77777777" w:rsidR="00B61C01" w:rsidRDefault="0049255F">
      <w:pPr>
        <w:pStyle w:val="ListBullet"/>
        <w:spacing w:after="60"/>
      </w:pPr>
      <w:r>
        <w:rPr>
          <w:b/>
        </w:rPr>
        <w:t xml:space="preserve">Foundations. </w:t>
      </w:r>
      <w:r>
        <w:rPr/>
        <w:t>Studies that define how Scripture works — interpretive tools, structural concepts, hermeneutical controls, and dispensational architecture. Belongs: dispensation, stewardship, administration, right division, the Acts Overlap, covenant method, hermeneutical rules, the apostolic and church-identity categories, comparison of interpretive systems. Does not belong: passage-specific exegesis, Israel-specific prophetic content, Body-specific Pauline instruction, thematic doctrinal studies. Catalog heading: Foundational Distinctions; pill: Foundations.</w:t>
      </w:r>
    </w:p>
    <w:p w14:paraId="165F46B7" w14:textId="77777777" w:rsidR="00B61C01" w:rsidRDefault="0049255F">
      <w:pPr>
        <w:pStyle w:val="ListBullet"/>
        <w:spacing w:after="60"/>
      </w:pPr>
      <w:r>
        <w:rPr>
          <w:b/>
        </w:rPr>
        <w:t xml:space="preserve">Israel &amp; Prophecy. </w:t>
      </w:r>
      <w:r>
        <w:rPr/>
        <w:t>Studies that explain Israel’s prophetic identity, covenants, promises, national calling, prophetic chronology, or Old Testament-rooted program. Belongs: the Abrahamic, Davidic and New Covenants (content), remnant studies, prophetic timelines, the Kingdom gospel and program, Israel’s stumbling, blindness and restoration, Romans 9–11 as Prophecy content including the olive tree, Revelation’s prophetic program, Messiah’s credentials. Does not belong: Body identity, Mystery revelation, Pauline instruction for the Body, studies where Israel is mentioned only incidentally. Catalog heading: Israel, Prophecy &amp; Covenants; pill: Israel &amp; Prophecy.</w:t>
      </w:r>
    </w:p>
    <w:p w14:paraId="165F46B7" w14:textId="77777777" w:rsidR="00B61C01" w:rsidRDefault="0049255F">
      <w:pPr>
        <w:pStyle w:val="ListBullet"/>
        <w:spacing w:after="60"/>
      </w:pPr>
      <w:r>
        <w:rPr>
          <w:b/>
        </w:rPr>
        <w:t xml:space="preserve">Body of Christ. </w:t>
      </w:r>
      <w:r>
        <w:rPr/>
        <w:t>Studies that explain Pauline Mystery truth — the Body’s beginning, identity, standing, calling, blessings, instruction, and heavenly position. Belongs: the Mystery, the beginning of the Body (including Acts 9), one body and one new man, heavenly places, grace instruction, Pauline commands, the Law’s jurisdiction over the Body. Does not belong: Israel’s covenants, prophetic promises, olive-tree participation, studies where the Body is only mentioned in passing. Catalog heading: The Body of Christ &amp; Grace; pill: Body of Christ.</w:t>
      </w:r>
    </w:p>
    <w:p w14:paraId="165F46B7" w14:textId="77777777" w:rsidR="00B61C01" w:rsidRDefault="0049255F">
      <w:pPr>
        <w:pStyle w:val="ListBullet"/>
        <w:spacing w:after="60"/>
      </w:pPr>
      <w:r>
        <w:rPr>
          <w:b/>
        </w:rPr>
        <w:t xml:space="preserve">Passages. </w:t>
      </w:r>
      <w:r>
        <w:rPr/>
        <w:t>Studies built around one specific passage or a tightly connected passage cluster, where the study’s structure follows the text itself. Does not belong: thematic, covenant or identity studies, or studies where the passage is used but does not control the structure. Catalog heading: Passages &amp; Apostolic Context; pill: Passages.</w:t>
      </w:r>
    </w:p>
    <w:p w14:paraId="165F46B7" w14:textId="77777777" w:rsidR="00B61C01" w:rsidRDefault="0049255F">
      <w:pPr>
        <w:pStyle w:val="ListBullet"/>
        <w:spacing w:after="60"/>
      </w:pPr>
      <w:r>
        <w:rPr>
          <w:b/>
        </w:rPr>
        <w:t xml:space="preserve">Doctrinal Themes. </w:t>
      </w:r>
      <w:r>
        <w:rPr/>
        <w:t>Studies that explain a single doctrinal concept across multiple passages — not tied to one passage and not limited to one program. Belongs: adoption, election, circumcision, redemption, justification, sanctification, baptism, judgments, crowns, resurrections, and similar terms. Does not belong: passage-driven, program-identity or covenant-specific studies. Catalog heading: Doctrinal Terms &amp; Themes; pill: Doctrinal Themes.</w:t>
      </w:r>
    </w:p>
    <w:p w14:paraId="31BC0D84" w14:textId="77777777" w:rsidR="00B61C01" w:rsidRDefault="0049255F">
      <w:pPr>
        <w:pStyle w:val="Heading2"/>
      </w:pPr>
      <w:r>
        <w:rPr/>
        <w:t>Clarifications</w:t>
      </w:r>
    </w:p>
    <w:p w14:paraId="165F46B7" w14:textId="77777777" w:rsidR="00B61C01" w:rsidRDefault="0049255F">
      <w:pPr>
        <w:pStyle w:val="ListBullet"/>
        <w:spacing w:after="60"/>
      </w:pPr>
      <w:r>
        <w:rPr/>
        <w:t>Adoption belongs in Doctrinal Themes (Study 52).</w:t>
      </w:r>
    </w:p>
    <w:p w14:paraId="165F46B7" w14:textId="77777777" w:rsidR="00B61C01" w:rsidRDefault="0049255F">
      <w:pPr>
        <w:pStyle w:val="ListBullet"/>
        <w:spacing w:after="60"/>
      </w:pPr>
      <w:r>
        <w:rPr/>
        <w:t>Romans 11 belongs in Israel &amp; Prophecy unless the study is strictly passage-driven.</w:t>
      </w:r>
    </w:p>
    <w:p w14:paraId="165F46B7" w14:textId="77777777" w:rsidR="00B61C01" w:rsidRDefault="0049255F">
      <w:pPr>
        <w:pStyle w:val="ListBullet"/>
        <w:spacing w:after="60"/>
      </w:pPr>
      <w:r>
        <w:rPr/>
        <w:t>Covenant methodology is Foundations; covenant content is Israel &amp; Prophecy.</w:t>
      </w:r>
    </w:p>
    <w:p w14:paraId="165F46B7" w14:textId="77777777" w:rsidR="00B61C01" w:rsidRDefault="0049255F">
      <w:pPr>
        <w:pStyle w:val="ListBullet"/>
        <w:spacing w:after="60"/>
      </w:pPr>
      <w:r>
        <w:rPr/>
        <w:t>Studies 44 (Walking in the Spirit), 45 (Sanctification Under Grace) and 46 (Secure in Christ) are Doctrinal Themes by explicit ruling.</w:t>
      </w:r>
    </w:p>
    <w:p w14:paraId="31BC0D84" w14:textId="77777777" w:rsidR="00B61C01" w:rsidRDefault="0049255F">
      <w:pPr>
        <w:pStyle w:val="Heading2"/>
      </w:pPr>
      <w:r>
        <w:rPr/>
        <w:t>Decision Procedure for a New Study</w:t>
      </w:r>
    </w:p>
    <w:p w14:paraId="3414F9A2" w14:textId="77777777" w:rsidR="009D4E88" w:rsidRDefault="00CF123C">
      <w:r>
        <w:rPr/>
        <w:t>Apply the tests in order; the first that fits decides the category.</w:t>
      </w:r>
    </w:p>
    <w:p w14:paraId="165F46B7" w14:textId="77777777" w:rsidR="00B61C01" w:rsidRDefault="0049255F">
      <w:pPr>
        <w:pStyle w:val="ListBullet"/>
        <w:spacing w:after="60"/>
      </w:pPr>
      <w:r>
        <w:rPr>
          <w:b/>
        </w:rPr>
        <w:t xml:space="preserve">Method test. </w:t>
      </w:r>
      <w:r>
        <w:rPr/>
        <w:t>Does the study teach how Scripture is built or read (dispensation, stewardship, right division, the Acts Overlap, covenant method, hermeneutical rules, the apostolic commissions, church and Israel categories, comparison of interpretive systems)? Foundations.</w:t>
      </w:r>
    </w:p>
    <w:p w14:paraId="165F46B7" w14:textId="77777777" w:rsidR="00B61C01" w:rsidRDefault="0049255F">
      <w:pPr>
        <w:pStyle w:val="ListBullet"/>
        <w:spacing w:after="60"/>
      </w:pPr>
      <w:r>
        <w:rPr>
          <w:b/>
        </w:rPr>
        <w:t xml:space="preserve">Cross-program doctrine test. </w:t>
      </w:r>
      <w:r>
        <w:rPr/>
        <w:t>Is the controlling subject one doctrinal concept or term traced across passages and across both Prophecy and Mystery? Doctrinal Themes.</w:t>
      </w:r>
    </w:p>
    <w:p w14:paraId="165F46B7" w14:textId="77777777" w:rsidR="00B61C01" w:rsidRDefault="0049255F">
      <w:pPr>
        <w:pStyle w:val="ListBullet"/>
        <w:spacing w:after="60"/>
      </w:pPr>
      <w:r>
        <w:rPr>
          <w:b/>
        </w:rPr>
        <w:t xml:space="preserve">Israel’s program test. </w:t>
      </w:r>
      <w:r>
        <w:rPr/>
        <w:t>Is the controlling subject Israel’s identity, covenant content, Kingdom gospel, prophetic chronology, Revelation’s prophetic program, the feasts, the remnant, Israel’s blindness and restoration, or Messiah’s credentials? Israel &amp; Prophecy, even when the title is a Revelation or Gospel passage.</w:t>
      </w:r>
    </w:p>
    <w:p w14:paraId="165F46B7" w14:textId="77777777" w:rsidR="00B61C01" w:rsidRDefault="0049255F">
      <w:pPr>
        <w:pStyle w:val="ListBullet"/>
        <w:spacing w:after="60"/>
      </w:pPr>
      <w:r>
        <w:rPr>
          <w:b/>
        </w:rPr>
        <w:t xml:space="preserve">Mystery and Body test. </w:t>
      </w:r>
      <w:r>
        <w:rPr/>
        <w:t>Is the controlling subject the Mystery, the Body’s beginning, identity, standing, calling, hope or conduct, or a doctrine stated only of the Body? Body of Christ.</w:t>
      </w:r>
    </w:p>
    <w:p w14:paraId="165F46B7" w14:textId="77777777" w:rsidR="00B61C01" w:rsidRDefault="0049255F">
      <w:pPr>
        <w:pStyle w:val="ListBullet"/>
        <w:spacing w:after="60"/>
      </w:pPr>
      <w:r>
        <w:rPr>
          <w:b/>
        </w:rPr>
        <w:t xml:space="preserve">Passage test. </w:t>
      </w:r>
      <w:r>
        <w:rPr/>
        <w:t>Does the outline walk one passage or tight passage cluster verse by verse, and the study fails the first four tests? Passages. If none fits, the study is Passages.</w:t>
      </w:r>
    </w:p>
    <w:p w14:paraId="3414F9A2" w14:textId="77777777" w:rsidR="009D4E88" w:rsidRDefault="00CF123C">
      <w:r>
        <w:rPr/>
        <w:t>If two tests fit, the earlier wins, except that a study titled by a bare passage reference that does not fall squarely under the method test goes to Passages, unless the passage is Revelation’s prophetic program or Messiah’s credentials. The closest ruled study of the same kind (below) decides remaining ties.</w:t>
      </w:r>
    </w:p>
    <w:p w14:paraId="31BC0D84" w14:textId="77777777" w:rsidR="00B61C01" w:rsidRDefault="0049255F">
      <w:pPr>
        <w:pStyle w:val="Heading2"/>
      </w:pPr>
      <w:r>
        <w:rPr/>
        <w:t>Current Assignments (71 Studies)</w:t>
      </w:r>
    </w:p>
    <w:p w14:paraId="165F46B7" w14:textId="77777777" w:rsidR="00B61C01" w:rsidRDefault="0049255F">
      <w:pPr>
        <w:pStyle w:val="ListBullet"/>
        <w:spacing w:after="60"/>
      </w:pPr>
      <w:r>
        <w:rPr>
          <w:b/>
        </w:rPr>
        <w:t xml:space="preserve">Foundations: </w:t>
      </w:r>
      <w:r>
        <w:rPr/>
        <w:t>4, 18, 32, 36, 38, 39, 58 (7).</w:t>
      </w:r>
    </w:p>
    <w:p w14:paraId="165F46B7" w14:textId="77777777" w:rsidR="00B61C01" w:rsidRDefault="0049255F">
      <w:pPr>
        <w:pStyle w:val="ListBullet"/>
        <w:spacing w:after="60"/>
      </w:pPr>
      <w:r>
        <w:rPr>
          <w:b/>
        </w:rPr>
        <w:t xml:space="preserve">Israel &amp; Prophecy: </w:t>
      </w:r>
      <w:r>
        <w:rPr/>
        <w:t>2, 7, 9, 10, 12, 13, 17, 21, 23, 26, 27, 35, 40, 41, 61, 64, 71 (17).</w:t>
      </w:r>
    </w:p>
    <w:p w14:paraId="165F46B7" w14:textId="77777777" w:rsidR="00B61C01" w:rsidRDefault="0049255F">
      <w:pPr>
        <w:pStyle w:val="ListBullet"/>
        <w:spacing w:after="60"/>
      </w:pPr>
      <w:r>
        <w:rPr>
          <w:b/>
        </w:rPr>
        <w:t xml:space="preserve">Body of Christ: </w:t>
      </w:r>
      <w:r>
        <w:rPr/>
        <w:t>3, 5, 6, 8, 11, 14, 16, 22, 30, 37, 43, 47, 48, 59 (14).</w:t>
      </w:r>
    </w:p>
    <w:p w14:paraId="165F46B7" w14:textId="77777777" w:rsidR="00B61C01" w:rsidRDefault="0049255F">
      <w:pPr>
        <w:pStyle w:val="ListBullet"/>
        <w:spacing w:after="60"/>
      </w:pPr>
      <w:r>
        <w:rPr>
          <w:b/>
        </w:rPr>
        <w:t xml:space="preserve">Passages: </w:t>
      </w:r>
      <w:r>
        <w:rPr/>
        <w:t>15, 19, 20, 24, 25, 28, 29, 62, 63, 65, 66, 67, 70 (13).</w:t>
      </w:r>
    </w:p>
    <w:p w14:paraId="165F46B7" w14:textId="77777777" w:rsidR="00B61C01" w:rsidRDefault="0049255F">
      <w:pPr>
        <w:pStyle w:val="ListBullet"/>
        <w:spacing w:after="60"/>
      </w:pPr>
      <w:r>
        <w:rPr>
          <w:b/>
        </w:rPr>
        <w:t xml:space="preserve">Doctrinal Themes: </w:t>
      </w:r>
      <w:r>
        <w:rPr/>
        <w:t>1, 31, 33, 34, 42, 44, 45, 46, 49, 50, 51, 52, 53, 54, 55, 56, 57, 60, 68, 69 (20).</w:t>
      </w:r>
    </w:p>
    <w:p w14:paraId="31BC0D84" w14:textId="77777777" w:rsidR="00B61C01" w:rsidRDefault="0049255F">
      <w:pPr>
        <w:pStyle w:val="Heading2"/>
      </w:pPr>
      <w:r>
        <w:rPr/>
        <w:t>Cover Labels</w:t>
      </w:r>
    </w:p>
    <w:p w14:paraId="3414F9A2" w14:textId="77777777" w:rsidR="009D4E88" w:rsidRDefault="00CF123C">
      <w:r>
        <w:rPr/>
        <w:t>The upper-right cover label must be the exact name of the study’s catalog category — no abbreviation, shortening, legacy name or other wording. Single-line covers use the pill names: FOUNDATIONS, ISRAEL &amp; PROPHECY, BODY OF CHRIST, PASSAGES, DOCTRINAL THEMES. Covers that use the full two-line form (Studies 60–71 series) use the catalog heading names: FOUNDATIONAL / DISTINCTIONS; ISRAEL, PROPHECY / &amp; COVENANTS; THE BODY OF CHRIST / &amp; GRACE; PASSAGES &amp; / APOSTOLIC CONTEXT; DOCTRINAL TERMS / &amp; THEMES. New covers use the single-line pill name unless the publisher approves the two-line form. The names RIGHT DIVISION, PROPHECY, DOCTRINE, INTERPRETATION and BIBLICAL DOCTRINE are not category names and are retired. When a study changes category, its cover label is re-lettered in the cover’s own style (same position, size, colour and tracking) and the website jpg, webp, png and size variants are updated.</w:t>
      </w:r>
    </w:p>
    <w:p w14:paraId="31BC0D84" w14:textId="77777777" w:rsidR="00B61C01" w:rsidRDefault="0049255F">
      <w:pPr>
        <w:pStyle w:val="Heading2"/>
      </w:pPr>
      <w:r>
        <w:rPr/>
        <w:t>When a Study Is Added or Its Category Changes</w:t>
      </w:r>
    </w:p>
    <w:p w14:paraId="165F46B7" w14:textId="77777777" w:rsidR="00B61C01" w:rsidRDefault="0049255F">
      <w:pPr>
        <w:pStyle w:val="ListBullet"/>
        <w:spacing w:after="60"/>
      </w:pPr>
      <w:r>
        <w:rPr/>
        <w:t>State the category and the one-line reason.</w:t>
      </w:r>
    </w:p>
    <w:p w14:paraId="165F46B7" w14:textId="77777777" w:rsidR="00B61C01" w:rsidRDefault="0049255F">
      <w:pPr>
        <w:pStyle w:val="ListBullet"/>
        <w:spacing w:after="60"/>
      </w:pPr>
      <w:r>
        <w:rPr/>
        <w:t>Place the catalog card in that category’s section, in number order; the pill counts follow the cards.</w:t>
      </w:r>
    </w:p>
    <w:p w14:paraId="165F46B7" w14:textId="77777777" w:rsidR="00B61C01" w:rsidRDefault="0049255F">
      <w:pPr>
        <w:pStyle w:val="ListBullet"/>
        <w:spacing w:after="60"/>
      </w:pPr>
      <w:r>
        <w:rPr/>
        <w:t>Letter the cover label in the category’s form.</w:t>
      </w:r>
    </w:p>
    <w:p w14:paraId="165F46B7" w14:textId="77777777" w:rsidR="00B61C01" w:rsidRDefault="0049255F">
      <w:pPr>
        <w:pStyle w:val="ListBullet"/>
        <w:spacing w:after="60"/>
      </w:pPr>
      <w:r>
        <w:rPr/>
        <w:t>Update the Relationship Map’s category table and the working Category Standard file, bump each version, and log the change.</w:t>
      </w:r>
    </w:p>
    <w:p>
      <w:pPr>
        <w:pStyle w:val="Heading1"/>
      </w:pPr>
      <w:r>
        <w:rPr/>
        <w:t>20. Doctrinal Drafting Standard (added v1.33)</w:t>
      </w:r>
    </w:p>
    <w:p>
      <w:pPr/>
      <w:r>
        <w:rPr/>
        <w:t>This Section carries PAM Rules 7–16 from the Framework Control Document (Section 4, continued, 2026-10-01 and 2026-10-02). Where the Framework and this Section differ in wording, the Framework controls. Wording that follows them is applied without a publisher question and noted in one line in the delivery message. Only a passage that is new, or that these rules do not cover, is reported for a ruling; when the publisher rules, the ruling is added here and in the Framework and CLAUDE.md in the same pass.</w:t>
      </w:r>
    </w:p>
    <w:p w14:paraId="31BC0D84" w14:textId="77777777" w:rsidR="00B61C01" w:rsidRDefault="0049255F">
      <w:pPr>
        <w:pStyle w:val="Heading2"/>
      </w:pPr>
      <w:r>
        <w:rPr/>
        <w:t>Rule 7 — Identity wording (Israel, the remnant and the Body)</w:t>
      </w:r>
    </w:p>
    <w:p>
      <w:pPr/>
      <w:r>
        <w:rPr/>
        <w:t>Galatians 6:16, “the Israel of God,” is written as “believing Jews within Israel’s prophetic identity—not members of the Body.” Not Gentiles; not Body members. (Replaces the earlier wording that placed them within the Body; publisher ruling, 2026-10-02.)</w:t>
      </w:r>
    </w:p>
    <w:p>
      <w:pPr/>
      <w:r>
        <w:rPr/>
        <w:t>Prophecy saints never become the Body. The remnant belongs to Israel’s Prophecy Program permanently; it is never the Body and is never absorbed into it. Where a study distinguishes the remnant or Prophecy believers from the Body, it may add: “Program membership is permanent: Prophecy saints remain Prophecy saints, and Body saints remain Body saints.” The earlier clarifier (“believing Jews are gathered into the Body during the Mystery administration”), the phrase “identity, not program membership” as a gathering device, and the sentence “no believing Israelite is placed outside the Body after Acts 9” are withdrawn and must not be used.</w:t>
      </w:r>
    </w:p>
    <w:p>
      <w:pPr/>
      <w:r>
        <w:rPr/>
        <w:t>Israel remains Israel, and the Body is not Israel. A Jewish member of the Body (saved through Paul’s gospel from Acts 9 onward) is not Israel: Body by identity, new creation by ontology, non-Israel by corporate identity, non-prophetic by program membership, non-covenantal by blessing structure, and heavenly by destiny. Ethnicity remains a historical fact, but it carries no covenantal or programmatic force once a person is in the Body. The Body is never called Israel or “spiritual Israel,” and Gentiles are never called Israel. The Body participates in no Israelite covenant, and its blessing comes through Christ alone (Rule 15). Galatians 3 is written only with the standing sentence in Rule 15 (the seed is prophetic fulfillment in Christ; the Body receives blessing through Christ alone), never as Gentiles participating in Abrahamic blessing, and no spiritualization is permitted (Rule 16).</w:t>
      </w:r>
    </w:p>
    <w:p>
      <w:pPr/>
      <w:r>
        <w:rPr/>
        <w:t>The new covenant is with the house of Israel and the house of Judah. It was ratified at the Cross and is not applied during Acts 9–28; the Body is not a party, and its forgiveness is non-covenantal and belongs to the Mystery Program (2 Corinthians 3:6; Rule 15). Romans 11:25 is Prophecy Program content occurring during the Mystery administration, read inside the Olive Tree Firewall (Rule 14).</w:t>
      </w:r>
    </w:p>
    <w:p>
      <w:pPr/>
      <w:r>
        <w:rPr/>
        <w:t>Membership map for Acts 9–28 (publisher ruling, 2026-10-02). Prophecy Program members: the Twelve, Pentecost believers, all pre-Acts 9 Jewish believers, all prophetic Gentiles (Romans 11 wild branches), all Old Testament saints, all prophetic remnant members, and all Jews saved under Peter’s Kingdom gospel; none of them ever becomes Body. Mystery Program members: anyone saved under Paul’s gospel from Acts 9 onward, Jews or Gentiles, who are Body from the moment of salvation. There is no special category of Acts 9–28 converts. The circumcision apostleship ministers to Israel under the Prophecy Program; Paul’s Mystery ministry gathers Body members; the two operate concurrently and never merge, transfer or absorb one another. A study never says that Prophecy believers are gathered into, placed in, relocated to or reassigned to the Body. Standing overlap sentence (approved 2026-10-02; used wherever the overlap relationship is stated, replacing the withdrawn “gathered into the Body” sentence): “During the overlap, the circumcision apostleship ministers to Israel under the Prophecy Program, and Paul’s gospel forms the Body; the two operate concurrently and never merge, transfer or absorb one another.”</w:t>
      </w:r>
    </w:p>
    <w:p w14:paraId="31BC0D84" w14:textId="77777777" w:rsidR="00B61C01" w:rsidRDefault="0049255F">
      <w:pPr>
        <w:pStyle w:val="Heading2"/>
      </w:pPr>
      <w:r>
        <w:rPr/>
        <w:t>Rule 8 — Books and passages the PAM does not assign</w:t>
      </w:r>
    </w:p>
    <w:p>
      <w:pPr/>
      <w:r>
        <w:rPr/>
        <w:t>The PAM assigns no program to Hebrews, James, 1 Peter or 2 John as books, and does not list Philippians, 1 Thessalonians or 2 Timothy individually. Revelation is no longer unassigned: Revelation and Daniel’s 70th week belong wholly to Israel’s Prophecy Program (Rule 14). A study reads each unassigned book from its own audience markers and states the placement as an interpretive reading, not a PAM assignment (PAM Rule 1). One reader-facing sentence is used where the book is first treated: “This reading rests on the letter’s own audience markers and setting.” The study never names the Framework or the PAM (Rule 14).</w:t>
      </w:r>
    </w:p>
    <w:p>
      <w:pPr/>
      <w:r>
        <w:rPr/>
        <w:t>Hebrews is read within Israel’s Prophecy line for covenant context, with the verbatim sentence: “This reading rests on the letter’s own audience markers and on the covenant it quotes (Jeremiah 31:31–34), which belongs to the house of Israel and the house of Judah, the Body benefiting from Christ’s blood without being the covenant party.” Hebrews’ covenant warnings are not converted into warnings to the Body. Phrases such as “heavenly calling” (Hebrews 3:1) are reported as the letter’s own wording and are not equated with the Body’s heavenly calling.</w:t>
      </w:r>
    </w:p>
    <w:p>
      <w:pPr/>
      <w:r>
        <w:rPr/>
        <w:t>Galatians 2:1–10 (the Jerusalem visit) is Framework-silent: the study states the text and Paul’s two entrusted spheres (Galatians 2:7–9) and assigns nothing further.</w:t>
      </w:r>
    </w:p>
    <w:p w14:paraId="31BC0D84" w14:textId="77777777" w:rsidR="00B61C01" w:rsidRDefault="0049255F">
      <w:pPr>
        <w:pStyle w:val="Heading2"/>
      </w:pPr>
      <w:r>
        <w:rPr/>
        <w:t>Rule 9 — Standing wording for settled rulings</w:t>
      </w:r>
    </w:p>
    <w:p>
      <w:pPr/>
      <w:r>
        <w:rPr/>
        <w:t>Acts 1–8 is the Prophecy/Kingdom Program; Acts 9–28 is the Overlap. Acts 10–11 (Cornelius) is a Prophecy Program event inside the Overlap; Acts 15 is Overlap and is not assigned to a single program; Acts 28 is national judicial suspension, not abolition. Acts 1–8 is Prophecy only; the Mystery begins at Acts 9. Acts 28 is the national suspension of Israel’s Prophecy Program, not abolition and not a transfer (Rule 13).</w:t>
      </w:r>
    </w:p>
    <w:p>
      <w:pPr/>
      <w:r>
        <w:rPr/>
        <w:t>Matthew 24 and Luke 17: write “the ‘one taken, one left’ passages,” never “rapture passages.” They describe Israel’s Tribulation separation (Prophecy Program) and are not the event of 1 Thessalonians 4 or 1 Corinthians 15.</w:t>
      </w:r>
    </w:p>
    <w:p>
      <w:pPr/>
      <w:r>
        <w:rPr/>
        <w:t>Ephesians 2:14 is written with the PAM wording “abolished for the Body” (governing program versus wall removed). Ephesians 2:11–18 “one new man”: “brought near” is not “made Israel.”</w:t>
      </w:r>
    </w:p>
    <w:p>
      <w:pPr/>
      <w:r>
        <w:rPr/>
        <w:t>Judgment: Israel is prophetic accountability plus Kingdom entrance; the Body is the Judgment Seat of Christ (2 Corinthians 5 is Mystery Program). Luke 22:14–20 is not equated with 1 Corinthians 11. Luke 21 states the AD 70 section and the future section and reports the text neutrally where the division is debated. John 14:16–17 is Prophecy Program; “shall be in you” is not the Body’s indwelling doctrine. Harpazō in 1 Thessalonians 4:17 supports the Body’s catching away.</w:t>
      </w:r>
    </w:p>
    <w:p>
      <w:pPr/>
      <w:r>
        <w:rPr/>
        <w:t>Studies 35, 40, 42 and 70 may be referenced but are pointers only, not Framework (PAM Rule 3).</w:t>
      </w:r>
    </w:p>
    <w:p w14:paraId="31BC0D84" w14:textId="77777777" w:rsidR="00B61C01" w:rsidRDefault="0049255F">
      <w:pPr>
        <w:pStyle w:val="Heading2"/>
      </w:pPr>
      <w:r>
        <w:rPr/>
        <w:t>Rule 10 — Review procedure</w:t>
      </w:r>
    </w:p>
    <w:p>
      <w:pPr/>
      <w:r>
        <w:rPr/>
        <w:t>Each study is checked against the PAM and Rules 1–9, 11–28, 30 and 32. Conforming wording is applied and listed in one line. A passage is reported for a ruling only when it is new or when these rules do not decide it. Each new ruling is written into the Framework, CLAUDE.md and the Master Standard together, with the version bumped.</w:t>
      </w:r>
    </w:p>
    <w:p w14:paraId="31BC0D84" w14:textId="77777777" w:rsidR="00B61C01" w:rsidRDefault="0049255F">
      <w:pPr>
        <w:pStyle w:val="Heading2"/>
      </w:pPr>
      <w:r>
        <w:rPr/>
        <w:t>Rule 11 — Paul’s fillings, signs and miraculous events (Acts 9–28)</w:t>
      </w:r>
    </w:p>
    <w:p>
      <w:pPr/>
      <w:r>
        <w:rPr/>
        <w:t>During Acts 9–28, Paul’s fillings, signs and miraculous events (and those of his companions) are overlap phenomena. The study reports the text and does not assign these events to a single program. They occur in settings shaped by Israel’s Prophecy Program, which remained operative throughout Acts 9–28 even as the Mystery Program began, but Paul’s participation does not convert them into Prophecy Program content and does not make them Mystery content. Standing wording: “These are recorded in settings shaped by Israel’s Prophecy Program, which remained operative throughout Acts 9–28 even as the Mystery Program began. Acts 9–28 is the overlap; where Paul or his companions are the ones filled or working signs, the study reports the text and does not assign the event to a single program.” Where a table sets Acts beside Paul’s letters, the Acts column is titled “The Spirit’s Activity Recorded in Acts,” not “Israel’s Prophecy Setting.” Speaker identity is not program identity; historical participation is not doctrinal obligation; Prophecy-setting phenomena are not Prophecy Program membership. The immediate passage determines classification.</w:t>
      </w:r>
    </w:p>
    <w:p w14:paraId="31BC0D84" w14:textId="77777777" w:rsidR="00B61C01" w:rsidRDefault="0049255F">
      <w:pPr>
        <w:pStyle w:val="Heading2"/>
      </w:pPr>
      <w:r>
        <w:rPr/>
        <w:t>Rule 12 — Unassigned books and passages: universal application</w:t>
      </w:r>
    </w:p>
    <w:p>
      <w:pPr/>
      <w:r>
        <w:rPr/>
        <w:t>Where the PAM does not assign a book or passage, the study may use the text for universal doctrinal truth, but the PAM does not assign the book to a program. The study tells the reader only what the reading rests on, in the reader-facing sentence below. The fact that the PAM has no assignment is an internal review finding, recorded in the review notes and the audit tracker, and is never stated in the study (Rule 14). This extends Rule 8 to every unassigned book or passage that Rule 8 does not name. Rule 8’s own sentences for the books it names (including the Hebrews sentence) and the established 1 Peter and 1 John wording continue to apply where those books are treated, with any internal reference removed under the reader-facing wording rule. Using an unassigned text for a universal truth is not a program assignment of the book.</w:t>
      </w:r>
    </w:p>
    <w:p>
      <w:pPr/>
      <w:r>
        <w:rPr/>
        <w:t>Reader-facing anchor wording (publisher directive, 2026-10-02, v1.45; replaces the v1.44 anchor-wording classification sentences). The reviewer still classifies the text to decide whether a line is needed: (1) a book the PAM does not assign or list (for example Philippians, Hebrews, James, 1 Peter, 2 John); (2) a passage inside a PAM-assigned book (for example Galatians, Romans, Ephesians, 1 and 2 Corinthians, Acts, John, Luke) for which the PAM has no entry; or (3) any other unassigned book or passage to which Rule 12 applies. In every case the study states one reader-facing sentence. For a book: “This reading rests on the letter’s own audience markers and setting.” For a passage: “This reading rests on the passage’s own audience markers and setting.” (plural “these passages … the passages’ own audience markers and setting” where a line covers more than one passage). The sentence names no internal document, rule or classification. Where the PAM has an entry (for example Galatians 3 for the seed), the standing sentence is used instead of an anchor. An unlisted passage is read from its own audience and setting; the sentence does not imply a hidden or missing assignment. Applied when a study is reopened or swept. The earlier wordings (“The Framework does not assign [book] as a book; this reading rests on …” and “The PAM makes no assignment for this passage; this reading rests on …”), found in studies written or retrofitted before v1.45, are withdrawn and are converted when those studies are reopened or in the Wave 5 sweep. First applied to Study 55.</w:t>
      </w:r>
    </w:p>
    <w:p w14:paraId="31BC0D84" w14:textId="77777777" w:rsidR="00B61C01" w:rsidRDefault="0049255F">
      <w:pPr>
        <w:pStyle w:val="Heading2"/>
      </w:pPr>
      <w:r>
        <w:rPr/>
        <w:t>Rule 13 — Program membership, Acts 1–8 and Acts 28 (2026-10-02)</w:t>
      </w:r>
    </w:p>
    <w:p>
      <w:pPr/>
      <w:r>
        <w:rPr/>
        <w:t>Program membership is permanent. Prophecy saints (the Twelve, Pentecost believers, Old Testament saints, every Prophecy Program believer) never become Body saints; Body saints remain Body saints forever. They retain their identity, calling, destiny and program membership permanently. No document says or implies that “every saved Jew becomes Body after Acts 28.” Apply this to Program Architecture, the Acts Overlap Chronology, the Identity Rules and the Salvation Architecture.</w:t>
      </w:r>
    </w:p>
    <w:p>
      <w:pPr/>
      <w:r>
        <w:rPr/>
        <w:t>Acts 1–8 is Prophecy Program only. The Mystery begins at Acts 9, when Body membership becomes possible: anyone saved under Paul’s gospel from Acts 9 onward is Body from the moment of salvation. After Acts 28, only newly saved individuals enter the Body, because Prophecy saints’ membership was already fixed and never relocates.</w:t>
      </w:r>
    </w:p>
    <w:p>
      <w:pPr/>
      <w:r>
        <w:rPr/>
        <w:t>Acts 28 is the national suspension of Israel’s Prophecy Program. It ends Prophecy’s operation, not its identity or membership. Never write transfer, relocation, absorption, administrative reassignment or “placement” of Prophecy saints into the Body.</w:t>
      </w:r>
    </w:p>
    <w:p>
      <w:pPr/>
      <w:r>
        <w:rPr/>
        <w:t>Present-age salvation is exclusively Body-ground salvation. Prophecy saints are not “re-saved” into the Body; their prophetic identity remains intact.</w:t>
      </w:r>
    </w:p>
    <w:p>
      <w:pPr/>
      <w:r>
        <w:rPr/>
        <w:t>Eternal destinies are protected: Prophecy saints inherit the New Earth and New Jerusalem; Body saints inherit the heavenly places. These destinies never merge, never overlap and never evolve into one another. Suspension does not change destiny.</w:t>
      </w:r>
    </w:p>
    <w:p w14:paraId="31BC0D84" w14:textId="77777777" w:rsidR="00B61C01" w:rsidRDefault="0049255F">
      <w:pPr>
        <w:pStyle w:val="Heading2"/>
      </w:pPr>
      <w:r>
        <w:rPr/>
        <w:t>Rule 14 — Olive Tree, prophetic-scene and Day of the Lord firewalls (2026-10-02)</w:t>
      </w:r>
    </w:p>
    <w:p>
      <w:pPr/>
      <w:r>
        <w:rPr/>
        <w:t>Olive Tree Firewall: the olive tree is prophetic blessing, not the Body of Christ. Participation does not require identity; natural branches remain Israel and wild branches remain Gentiles. Romans 11 Gentiles ≠ Body Gentiles; wild branches ≠ Body members; olive-tree participation ≠ Mystery identity. Gentiles addressed in Romans 11 are prophetic participants, and participation in blessing neither transfers Israel’s identity nor places anyone in the Body. This firewall is stated in every Romans 11 treatment.</w:t>
      </w:r>
    </w:p>
    <w:p>
      <w:pPr/>
      <w:r>
        <w:rPr/>
        <w:t>Romans 11 Strong Firewall (standing rule, publisher directive 2026-10-02; governs every Romans 11 treatment in every study). Romans 11 must be read with hard doctrinal boundaries. Paul’s olive-tree illustration explains prophetic participation, not corporate identity, covenant membership or Mystery formation. The wild branch partakes of prophetic blessing, but it does not become Israel, does not enter Israel’s covenants, does not become a natural branch and does not acquire Israel’s prophetic identity. The olive tree itself is not the Body of Christ.</w:t>
      </w:r>
    </w:p>
    <w:p>
      <w:pPr/>
      <w:r>
        <w:rPr/>
        <w:t>Standing triad (used in the study’s introduction or opening treatment): “Participation is not identity. Blessing is not covenant. Standing is not program membership.” Standing close for the identity discussion: “Identity is fixed by divine program, not by metaphor.”</w:t>
      </w:r>
    </w:p>
    <w:p>
      <w:pPr/>
      <w:r>
        <w:rPr/>
        <w:t>“Salvation has come to the Gentiles” (11:11–12) means salvation, not covenant membership, prophetic identity, Israel’s name, Israel’s promises, Israel’s program or Israel’s destiny. Salvation does not relocate Gentiles into Israel, does not place them inside the olive tree as Israel and does not make them the Body of Christ. Romans 11 explains Israel’s prophetic condition and the significance of Gentile salvation in relation to that condition; it does not define the origin, identity or membership of the Body. Standing close: “Salvation has come to the Gentiles. Israel remains Israel. The Body remains the Body. Program membership is permanent.”</w:t>
      </w:r>
    </w:p>
    <w:p>
      <w:pPr/>
      <w:r>
        <w:rPr/>
        <w:t>The wild branch is grafted in among the branches, not into Israel. It partakes of the root and fatness, but it does not become a natural branch. Studies state the four-point governing list: the olive tree is prophetic blessing, not the Body of Christ; Romans 11 Gentiles are prophetic participants, not Body Gentiles; wild branches are not Body members; grafting changes participation, not identity. Warning line: “Any reading that turns Gentile blessing into identity transfer violates Paul’s warning and collapses the Prophecy/Mystery distinction.”</w:t>
      </w:r>
    </w:p>
    <w:p>
      <w:pPr/>
      <w:r>
        <w:rPr/>
        <w:t>Grafting changes standing, not ontology: the wild branch remains wild and the natural branches remain natural. Gentiles do not become Israel, do not enter Israel’s covenants, do not inherit Israel’s national promises and do not become the Body through olive-tree participation. The Body receives blessing through Christ alone, not through covenant participation; the remnant remains Israel’s prophetic believing company permanently.</w:t>
      </w:r>
    </w:p>
    <w:p>
      <w:pPr/>
      <w:r>
        <w:rPr/>
        <w:t>The Body is not formed by grafting, not defined by the olive tree and not derived from Israel’s covenant structure; its identity is grounded exclusively in the Mystery revealed through Paul. Jewish members of the Body are Body by identity, not Israel; their ethnicity is a historical fact with no covenantal or programmatic force. The Body’s blessing is non-covenantal, heavenly and Mystery ground; it never becomes Israel, never absorbs Israel and never inherits Israel’s prophetic destiny.</w:t>
      </w:r>
    </w:p>
    <w:p>
      <w:pPr/>
      <w:r>
        <w:rPr/>
        <w:t>Romans 11 is read inside the Acts overlap. Israel’s stumbling does not terminate Prophecy, and the revelation of the Mystery does not replace Israel. “Gentile blessing does not relocate Gentiles into Israel, and Israel’s diminishing does not relocate Israel into the Body. Concurrency is operational, not transformational.” Romans 11, including 11:25, is Prophecy content stated during the Mystery administration, not a mechanism for forming the Body or redefining Israel.</w:t>
      </w:r>
    </w:p>
    <w:p>
      <w:pPr/>
      <w:r>
        <w:rPr/>
        <w:t>Applicability and depth. The rule governs every study that treats Romans 11 (including Studies 9, 13, 21, 35, 36 and any later study). A study that treats Romans 11 at length carries the full firewall in the voice of Study 13 (v2), which is the reference text. A study that cites Romans 11 in passing carries at least the four-point governing list and the standing triad. A mild clarification is not sufficient: the statement must defend the boundary, warn the reader and close the door on identity-transfer readings. Studies built before this rule are brought to it when reopened or when the publisher directs.</w:t>
      </w:r>
    </w:p>
    <w:p>
      <w:pPr/>
      <w:r>
        <w:rPr/>
        <w:t>Reader-facing wording (publisher directive, 2026-10-02; extended 2026-10-02, v1.45). The internal drafting and approval apparatus is never visible to the reader. The Framework, the PAM (Program Assignment Manual), the Master Standard, rule numbers, standing sentences, anchoring sentences, review notes, audit trackers and every similar working term are internal, and they are never named, cited or alluded to in study text, website copy or Doctrinal Packets. This includes “firewall” and “Olive Tree Firewall,” and any line of the kind “The Framework does not assign …” or “The PAM makes no assignment …”. A study states each boundary and each reading in plain language on its own footing: what the text says, whom it addresses and its setting. For example, “Four boundaries govern the reading:” (or “These boundaries govern the reading:”) is followed by the boundaries themselves. Any other term in a study that the study has not itself introduced and defined is treated the same way. The rule applies to every study, packet and page, new or reopened, and every study brought through the retrofit is checked for it. Studies 9, 13, 35 and 36 were corrected on 2026-10-02.</w:t>
      </w:r>
    </w:p>
    <w:p>
      <w:pPr/>
      <w:r>
        <w:rPr/>
        <w:t>Diagram and image text (publisher directive, 2026-10-05). The reader-facing wording rule applies to every word the reader can see, including text inside diagrams, charts, flow captions, cover art and preview images, not only to body text. Text inside a diagram is stored as outlines in the PDF, so a text search of the PDF cannot find it: in the Doctrinal Packet sweep the diagram captions of ten packets carried references to the Framework, the PAM and section numbers that no text search had flagged. Every study check and every Doctrinal Packet check therefore includes an OCR pass over each rendered interior page and each website preview image, searched for “Framework”, “PAM”, “Program Assignment”, “Master Standard”, “firewall”, “Rule ”, “anchor” and “§”, and every hit is reported. A caption is corrected by removing the apparatus reference or replacing it with the reader-facing form (“This reading rests on the letter’s own audience markers and setting.”), in the PDF, in the editable DOCX diagram image and in any preview image made from it.</w:t>
      </w:r>
    </w:p>
    <w:p>
      <w:pPr/>
      <w:r>
        <w:rPr/>
        <w:t>Gentiles appearing in Revelation, Daniel or Day of the Lord passages belong to prophetic fulfillment, not the Mystery Body; their presence implies no Body membership.</w:t>
      </w:r>
    </w:p>
    <w:p>
      <w:pPr/>
      <w:r>
        <w:rPr/>
        <w:t>The Body of Christ does not appear in Revelation’s prophetic scenes. Revelation, like Daniel’s 70th week, belongs wholly to Israel’s Prophecy Program. The great multitude is not the Body of Christ.</w:t>
      </w:r>
    </w:p>
    <w:p>
      <w:pPr/>
      <w:r>
        <w:rPr/>
        <w:t>The Body is absent from Daniel’s 70th week in every form: not in the covenant, not in the judgments, not in the preservation, not in the Tribulation.</w:t>
      </w:r>
    </w:p>
    <w:p>
      <w:pPr/>
      <w:r>
        <w:rPr/>
        <w:t>The Body is not in the Day of the Lord. “They” refers to prophetic recipients overtaken by the Day; “you” refers to Body believers, who are not in the Day and not appointed to wrath.</w:t>
      </w:r>
    </w:p>
    <w:p w14:paraId="31BC0D84" w14:textId="77777777" w:rsidR="00B61C01" w:rsidRDefault="0049255F">
      <w:pPr>
        <w:pStyle w:val="Heading2"/>
      </w:pPr>
      <w:r>
        <w:rPr/>
        <w:t>Rule 15 — Gospel, covenant and Spirit firewalls (2026-10-02)</w:t>
      </w:r>
    </w:p>
    <w:p>
      <w:pPr/>
      <w:r>
        <w:rPr/>
        <w:t>The Gospel of the Kingdom belongs exclusively to Israel’s Prophecy Program; the Body never preaches it. Paul preaching prophecy truth to Israel does not make those hearers Body members. Two-Gospel Firewall: the Gospel of the Kingdom ≠ the Gospel of the Grace of God; they never merge, never overlap and never transfer.</w:t>
      </w:r>
    </w:p>
    <w:p>
      <w:pPr/>
      <w:r>
        <w:rPr/>
        <w:t>The New Covenant was ratified at the Cross but not applied during Acts 9–28; its fulfillment awaits Israel’s future restoration under Messiah. The Body’s forgiveness is non-covenantal and belongs to the Mystery Program.</w:t>
      </w:r>
    </w:p>
    <w:p>
      <w:pPr/>
      <w:r>
        <w:rPr/>
        <w:t>The Spirit’s ministry to the Body is distinct from the Spirit’s ministry promised to restored Israel under the New Covenant. The Spirit does not cross program boundaries.</w:t>
      </w:r>
    </w:p>
    <w:p>
      <w:pPr/>
      <w:r>
        <w:rPr/>
        <w:t>The Body participates in none of Israel’s covenants: Abrahamic, Mosaic, Davidic or New. The Body’s blessings are non-covenantal, heavenly and Mystery-based.</w:t>
      </w:r>
    </w:p>
    <w:p>
      <w:pPr/>
      <w:r>
        <w:rPr/>
        <w:t>The Abrahamic Covenant continues to belong to Israel during the Acts Overlap, but none of its national or land promises advance during that period. The Body receives blessing through Christ alone, not through Abrahamic covenant participation. Standing Galatians 3 sentence (approved 2026-10-02; replaces all older Abrahamic-participation language): “The seed is prophetic fulfillment in Christ; the Body receives blessing through Christ alone, not through participation in the Abrahamic covenant.”</w:t>
      </w:r>
    </w:p>
    <w:p w14:paraId="31BC0D84" w14:textId="77777777" w:rsidR="00B61C01" w:rsidRDefault="0049255F">
      <w:pPr>
        <w:pStyle w:val="Heading2"/>
      </w:pPr>
      <w:r>
        <w:rPr/>
        <w:t>Rule 16 — Hermeneutical controls and concurrency (2026-10-02)</w:t>
      </w:r>
    </w:p>
    <w:p>
      <w:pPr/>
      <w:r>
        <w:rPr/>
        <w:t>Two-Audience Rule: every passage is interpreted according to the audience God addresses. Prophecy → Israel, Judah and the nations; Mystery → the Body of Christ. No passage may be reassigned across programs.</w:t>
      </w:r>
    </w:p>
    <w:p>
      <w:pPr/>
      <w:r>
        <w:rPr/>
        <w:t>No cross-program importation: no doctrine, promise, blessing, identity, commission, hope or covenant is imported from Prophecy into Mystery or from Mystery into Prophecy.</w:t>
      </w:r>
    </w:p>
    <w:p>
      <w:pPr/>
      <w:r>
        <w:rPr/>
        <w:t>No spiritualization: no Israel passage is spiritualized into the Body; no Body passage into Israel; no prophetic passage into Mystery; no Mystery passage into Prophecy.</w:t>
      </w:r>
    </w:p>
    <w:p>
      <w:pPr/>
      <w:r>
        <w:rPr/>
        <w:t>Concurrency ≠ shared identity. Prophecy and Mystery operate concurrently during Acts 9–28, but concurrency does not mean shared identity, membership, promises, Spirit ministry, destiny, gospel, calling, hope or commission. Concurrency is simultaneous operation, not blending.</w:t>
      </w:r>
    </w:p>
    <w:p w14:paraId="31BC0D84" w14:textId="77777777" w:rsidR="00B61C01" w:rsidRDefault="0049255F">
      <w:pPr>
        <w:pStyle w:val="Heading2"/>
      </w:pPr>
      <w:r>
        <w:rPr/>
        <w:t>Rule 17 — The remnant and the Body during Acts 9–28 (2026-10-02)</w:t>
      </w:r>
    </w:p>
    <w:p>
      <w:pPr/>
      <w:r>
        <w:rPr/>
        <w:t>Two groups, two identities, two programs, one historical period. During Acts 9–28 the Prophecy Program (Israel, covenants, Kingdom, remnant) and the Mystery Program (Body of Christ, heavenly calling) operate concurrently and never merge.</w:t>
      </w:r>
    </w:p>
    <w:p>
      <w:pPr/>
      <w:r>
        <w:rPr/>
        <w:t>The remnant is the believing portion of Israel, inside the Prophecy Program, heirs of Israel’s prophetic promises, tied to Abrahamic, Davidic and New Covenant fulfillment, destined for the earthly Kingdom and New Jerusalem, and permanently Israel in identity, calling, destiny and program membership. The remnant never becomes the Body: not at Acts 9, not at Acts 28, not ever.</w:t>
      </w:r>
    </w:p>
    <w:p>
      <w:pPr/>
      <w:r>
        <w:rPr/>
        <w:t>The Body is formed by Paul’s gospel beginning at Acts 9, is composed of Jews and Gentiles saved through the Mystery revelation, and is non-covenantal; heavenly in calling, destiny and inheritance; a new creation distinct from Israel; and permanently Body in identity and program membership. Only people saved through Paul’s gospel (Acts 9 onward) enter the Body, and they are gathered into it immediately upon belief. No one is transferred into it from Prophecy. A Jewish member of the Body (saved through Paul’s gospel from Acts 9 onward) is not Israel: Body by identity, new creation by ontology, non-Israel by corporate identity, non-prophetic by program membership, non-covenantal by blessing structure, and heavenly by destiny. Ethnicity remains a historical fact, but it carries no covenantal or programmatic force once a person is in the Body.</w:t>
      </w:r>
    </w:p>
    <w:p>
      <w:pPr/>
      <w:r>
        <w:rPr/>
        <w:t>Concurrency without transfer: both groups exist at the same time and are present in the historical narrative; Paul teaches Prophecy truth to Israel and Mystery truth to the Body. They never share identity, program membership, destiny, covenant participation, gospel, hope or Spirit ministry. Remnant: Kingdom gospel, Kingdom restoration, New Covenant Spirit ministry (future). Body: the Gospel of the Grace of God, the Day of Christ and heavenly glorification, Mystery Spirit ministry (present).</w:t>
      </w:r>
    </w:p>
    <w:p>
      <w:pPr/>
      <w:r>
        <w:rPr/>
        <w:t>The remnant’s status during Acts 9–28: they remain Israel, prophetic and covenantal, heirs of Kingdom promises and of Abrahamic, Davidic and New Covenant fulfillment, destined for the earthly Kingdom. They remain outside the Body of Christ, outside the Mystery Program, outside the heavenly calling and outside Pauline identity. Nothing about Acts 9–28 changes their identity.</w:t>
      </w:r>
    </w:p>
    <w:p>
      <w:pPr/>
      <w:r>
        <w:rPr/>
        <w:t>The Body’s status during Acts 9–28: formed by Paul’s gospel, gathered into the Body immediately upon belief, non-covenantal, heavenly in calling and destiny. The Body is not Israel, not the remnant, and not part of the Kingdom program, the olive tree, Daniel’s 70th week, Revelation or the Day of the Lord. Nothing about Prophecy’s continued operation changes its identity.</w:t>
      </w:r>
    </w:p>
    <w:p>
      <w:pPr/>
      <w:r>
        <w:rPr/>
        <w:t>Standing summary sentence (used wherever the relationship is stated; the doctrinal firewall): “During Acts 9–28, the remnant remains Israel’s prophetic believing company, and the Body remains the Mystery new creation. They coexist historically but never merge in identity, membership, calling, covenant, gospel, hope, or destiny. Concurrency is operational, not transformational.”</w:t>
      </w:r>
    </w:p>
    <w:p>
      <w:pPr/>
      <w:r>
        <w:rPr/>
        <w:t>One-sentence relationship rule: “The remnant and the Body coexist during Acts 9–28, but they do not intersect, overlap, merge, transfer, absorb, or redefine one another. They are distinct peoples in distinct programs with distinct destinies.”</w:t>
      </w:r>
    </w:p>
    <w:p w14:paraId="31BC0D84" w14:textId="77777777" w:rsidR="00B61C01" w:rsidRDefault="0049255F">
      <w:pPr>
        <w:pStyle w:val="Heading2"/>
      </w:pPr>
      <w:r>
        <w:rPr/>
        <w:t>Rule 18 — Paul’s synagogue ministry and his commission (2026-10-02)</w:t>
      </w:r>
    </w:p>
    <w:p>
      <w:pPr/>
      <w:r>
        <w:rPr/>
        <w:t>Paul’s commission never changes. He is the apostle of the Gentiles, and his own gospel is the gospel of the grace of God, from Acts 9 through the end of his ministry. His apostleship, his gospel and his commission do not change with his audience.</w:t>
      </w:r>
    </w:p>
    <w:p>
      <w:pPr/>
      <w:r>
        <w:rPr/>
        <w:t>Standing sentence: “Paul’s commission never changes: he is the apostle of the Gentiles, and his own gospel is the gospel of the grace of God. When he reasons in the synagogues from Israel’s Scriptures, he proclaims Israel’s Messiah and kingdom hope to Israel, whose prophetic program remained operative until its national suspension at Acts 28. That is audience-specific proclamation, not a second gospel and not a change of commission; it does not make Paul a Prophecy apostle, and it does not make his hearers members of the Body by that message.”</w:t>
      </w:r>
    </w:p>
    <w:p>
      <w:pPr/>
      <w:r>
        <w:rPr/>
        <w:t>Short form for a passing mention: “Paul’s synagogue preaching was audience-specific, not commission-specific.”</w:t>
      </w:r>
    </w:p>
    <w:p>
      <w:pPr/>
      <w:r>
        <w:rPr/>
        <w:t>Wording guard: Paul is never written as preaching the Gospel of the Kingdom as his own gospel, as preaching one gospel to Jews and another to Gentiles, as changing his message to suit his hearers, or as remaining under the law or inside the Prophecy Program until Acts 28. His synagogue reasoning, his customs and vows in Jewish settings (Acts 16, 18, 21), and his “hope of Israel” at Rome (Acts 28:20) are reported as audience-specific, within the overlap, and are not assigned to his commission. Local turns to the Gentiles (Acts 13:46, 18:6) are geographic and ministerial, not national; the national suspension is Acts 28.</w:t>
      </w:r>
    </w:p>
    <w:p>
      <w:pPr/>
      <w:r>
        <w:rPr/>
        <w:t>Application: the standing sentence (or the short form where the mention is passing) appears wherever a study mentions Paul’s synagogue ministry, and in full in the studies on Paul’s apostleship, the gospel of grace, the Acts overlap and Israel’s judicial blinding. It is read together with Rules 7, 11, 13 and 17, and it is stated plainly, never left to implication.</w:t>
      </w:r>
    </w:p>
    <w:p w14:paraId="31BC0D84" w14:textId="77777777" w:rsidR="00B61C01" w:rsidRDefault="0049255F">
      <w:pPr>
        <w:pStyle w:val="Heading2"/>
      </w:pPr>
      <w:r>
        <w:rPr/>
        <w:t>Rule 19 — Ground of salvation and content of faith (2026-10-03)</w:t>
      </w:r>
    </w:p>
    <w:p>
      <w:pPr/>
      <w:r>
        <w:rPr/>
        <w:t>The Gospel of the Kingdom and the gospel of the grace of God do not share identical content, identical audiences or identical programmatic authority, and the Framework states no shared saving ground between them. Salvation is always by faith, never by merit, but the content of faith is determined by what God revealed within each program.</w:t>
      </w:r>
    </w:p>
    <w:p>
      <w:pPr/>
      <w:r>
        <w:rPr/>
        <w:t>Before the Cross, salvation operated within Israel’s Prophecy Program: Abraham believed what God revealed to Abraham, Moses what God revealed to Moses, David what God revealed to David. Their faith rested on the revelation given them within the Prophecy Program, accompanied by covenantal obligations appropriate to Israel’s program, not on Pauline revelation and not on the finished work of Christ, which had not yet been revealed. The Body is saved by believing Pauline revelation, the gospel of the grace of God, through faith alone, apart from Israel’s covenantal obligations.</w:t>
      </w:r>
    </w:p>
    <w:p>
      <w:pPr/>
      <w:r>
        <w:rPr/>
        <w:t>Program-specific requirements (repentance, baptism, covenant fidelity, Kingdom readiness) belong to Israel’s prophetic setting. They are not meritorious grounds of salvation, are not Pauline faith-alone doctrine, and never transfer to the Body. Pauline faith-alone doctrine is never imposed retroactively on Israel’s prophetic era. Studies state the content of faith for each program and do not write one universal saving formula or a shared saving ground.</w:t>
      </w:r>
    </w:p>
    <w:p>
      <w:pPr/>
      <w:r>
        <w:rPr/>
        <w:t>Supersession: the earlier statements that both messages “rest on the finished work of Christ” and that the ground of salvation is “always the grace of God and the finished work of Christ” (Framework Sections VII and VIII) are withdrawn and replaced by this rule. Studies carrying the withdrawn wording (including Studies 12, 15, 31, 43 and 54, to be confirmed by search) are corrected when reopened or when the publisher directs. Study 2 is the first study written to it. The Framework carries the same rule (rule-sync).</w:t>
      </w:r>
    </w:p>
    <w:p w14:paraId="31BC0D84" w14:textId="77777777" w:rsidR="00B61C01" w:rsidRDefault="0049255F">
      <w:pPr>
        <w:pStyle w:val="Heading2"/>
      </w:pPr>
      <w:r>
        <w:rPr/>
        <w:t>Rule 20 — The Lord’s Supper: New Covenant wording and “till he come” (2026-10-05)</w:t>
      </w:r>
    </w:p>
    <w:p>
      <w:pPr/>
      <w:r>
        <w:rPr/>
        <w:t>New Covenant wording (publisher ruling, 2026-10-05). Wherever a study or page treats the cup of the Lord’s Supper (1 Corinthians 11:25; compare Luke 22:20), the standing sentence is: “The cup carries the blood on which the New Covenant rests. The Body of Christ remembers that blood and proclaims the Lord’s death without becoming a party to Israel’s New Covenant.” It is read with Rule 15 (the New Covenant belongs to the house of Israel and the house of Judah; the Body participates in none of Israel’s covenants) and with the Hebrews sentence in Rule 8. A study never writes that the Body enters, shares in or is under the New Covenant, or that the Supper applies that covenant to the Body.</w:t>
      </w:r>
    </w:p>
    <w:p>
      <w:pPr/>
      <w:r>
        <w:rPr/>
        <w:t>“Till he come” (publisher ruling, 2026-10-05). The phrase in 1 Corinthians 11:26 is reported as written. A study does not specify which coming it names.</w:t>
      </w:r>
    </w:p>
    <w:p>
      <w:pPr/>
      <w:r>
        <w:rPr/>
        <w:t>Relation to the PAM. The PAM already assigns 1 Corinthians 11:17–34 as Mystery Program, Body practice, not Passover and not a Kingdom ordinance, and does not equate Luke 22:14–20 (the Passover with the Twelve) with it; Rule 20 adds only the two wording rulings above. First applied to Study 72. Acts 2:42 and 20:7 (“breaking of bread”) are reported from the text under Rules 11 and 12 and are not assigned to a program.</w:t>
      </w:r>
    </w:p>
    <w:p w14:paraId="31BC0D84" w14:textId="77777777" w:rsidR="00B61C01" w:rsidRDefault="0049255F">
      <w:pPr>
        <w:pStyle w:val="Heading2"/>
      </w:pPr>
      <w:r>
        <w:rPr/>
        <w:t>Rule 21 — The Davidic throne: Acts 2:30–36 and Revelation 3:21 (2026-10-05)</w:t>
      </w:r>
    </w:p>
    <w:p>
      <w:pPr/>
      <w:r>
        <w:rPr/>
        <w:t>Report as written (publisher ruling, 2026-10-05). Acts 2:30–36 and Revelation 3:21 are reported as written. A study does not equate the “right hand” of God (Acts 2:33; compare Acts 2:34) with David’s throne, and does not specify when that throne is taken. The Framework places the Davidic throne within Israel’s prophetic kingdom hope (the Prophecy Program), not in the present heavenly session.</w:t>
      </w:r>
    </w:p>
    <w:p>
      <w:pPr/>
      <w:r>
        <w:rPr/>
        <w:t>Promise and exaltation. Peter’s statement that God swore to David that he would raise up Christ “to sit on his throne” (Acts 2:30) and his statement that Christ has been exalted “by the right hand of God” (Acts 2:33) are reported as two distinct statements, the promise and the exaltation; the study does not identify them as the same throne. Revelation 3:21 likewise distinguishes Christ’s present position (“set down with my Father in his throne”) from the future rule promised to the overcomer (“to sit with me in my throne”); the study reports both clauses as written and assigns the verse to no program beyond the reading of its own audience markers and setting.</w:t>
      </w:r>
    </w:p>
    <w:p>
      <w:pPr/>
      <w:r>
        <w:rPr/>
        <w:t>Relation to other rules. Rule 21 is read with Rule 15 (the Body participates in none of Israel’s covenants, the Davidic included) and Rule 18 (Paul’s synagogue address in Acts 13 is audience-specific). Acts 15:13–18 is reported as written under the PAM’s Acts 15 ruling. First applied to Study 73.</w:t>
      </w:r>
    </w:p>
    <w:p w14:paraId="31BC0D84" w14:textId="77777777" w:rsidR="00B61C01" w:rsidRDefault="0049255F">
      <w:pPr>
        <w:pStyle w:val="Heading2"/>
      </w:pPr>
      <w:r>
        <w:rPr/>
        <w:t>Rule 22 — The man of sin, the final-ruler passages and the antichrist texts (2026-10-05)</w:t>
      </w:r>
    </w:p>
    <w:p>
      <w:pPr/>
      <w:r>
        <w:rPr/>
        <w:t>Report as written; no single figure (publisher ruling, 2026-10-05). A study reports each passage as written — 2 Thessalonians 2:1–12, Daniel 7, 8, 9, 11 and 12, Matthew 24:15–22, Mark 13:14, Luke 21:20–24, Revelation 11:1–2, 13, 16, 17 and 19, and 1 John 2:18–22, 4:3 and 2 John 7 — and may set them side by side to compare their features (titles, durations, covenants, temple references, blasphemy, worship, sitting). It does not state that the passages name one person or that they name different persons, and it does not carry a title from one passage into another unless the passage itself does so.</w:t>
      </w:r>
    </w:p>
    <w:p>
      <w:pPr/>
      <w:r>
        <w:rPr/>
        <w:t>The restrainer (publisher ruling, 2026-10-05). 2 Thessalonians 2:6–7 is reported exactly as written (“what withholdeth,” “he who now letteth,” “taken out of the way”) with no identification of the restrainer.</w:t>
      </w:r>
    </w:p>
    <w:p>
      <w:pPr/>
      <w:r>
        <w:rPr/>
        <w:t>2 Thessalonians 2:2 and the temple (publisher ruling, 2026-10-05). The wording of 2:2 (“the day of Christ”) is reported as the KJV gives it and left open, as in Studies 7 and 8. The “temple of God” (2:4) is reported beside Daniel 9:27, Matthew 24:15 and Revelation 11:1–2 without assigning a location or timing. Luke 21 is reported neutrally where the division is debated. Where the passage speaks of its readers in the second person and of those affected in the third person (2 Thessalonians 2:10–12), a study may report that grammatical distinction and states no doctrine beyond the text.</w:t>
      </w:r>
    </w:p>
    <w:p>
      <w:pPr/>
      <w:r>
        <w:rPr/>
        <w:t>1 John and 2 John (publisher ruling, 2026-10-05). 1 John 2:18, 2:22, 4:3 and 2 John 7 are reported as written (“ye have heard that antichrist shall come,” “even now are there many antichrists”) with no program assignment beyond the letter’s own audience markers and setting; the reader-facing line is “This reading rests on the letter’s own audience markers and setting.”</w:t>
      </w:r>
    </w:p>
    <w:p>
      <w:pPr/>
      <w:r>
        <w:rPr/>
        <w:t>Relation to other rules. Acts 2:30–36 may appear once in such a study as a cross-reference (for example in a “sitting” row), governed by Rule 21: the throne promise and the exaltation remain two distinct statements, and neither is equated with 2 Thessalonians 2:4. Rule 22 is read with Rule 14 (the Body’s relation to the Day of the Lord) and Rule 16. First applied to Study 74 (The Man of Sin).</w:t>
      </w:r>
    </w:p>
    <w:p w14:paraId="31BC0D84" w14:textId="77777777" w:rsidR="00B61C01" w:rsidRDefault="0049255F">
      <w:pPr>
        <w:pStyle w:val="Heading2"/>
      </w:pPr>
      <w:r>
        <w:rPr/>
        <w:t>Rule 23 — Faith before the Cross: hard texts and the content of faith (2026-10-05)</w:t>
      </w:r>
    </w:p>
    <w:p>
      <w:pPr/>
      <w:r>
        <w:rPr/>
        <w:t>Report as written (publisher ruling, 2026-10-05). A study on faith before the Cross reports each passage as written and records what each person or group is said to have believed, what had been said to them, and what followed. Passages in scope include Genesis 12:1–4, 15:1–6 and 22:15–18; Exodus 4:29–31, 14:31 and 19:8; Numbers 14:11 and 20:12; Psalms 78 and 106; Psalm 32; Isaiah 7:9, 28:16 and 53:1; Habakkuk 2:1–4; Jonah 3:5; 1 Peter 1:10–12; Hebrews 3:16–4:2 and 11; Matthew 16:13–23; John 1:41–49, 2:22, 6:66–69, 12:16 and 12:37–38, 20:8–9 and 20:30–31; and Luke 18:31–34 and 24:25–27, 44–46.</w:t>
      </w:r>
    </w:p>
    <w:p>
      <w:pPr/>
      <w:r>
        <w:rPr/>
        <w:t>Hard texts (publisher ruling, 2026-10-05). Galatians 3:8, John 8:56, Hebrews 11:26 and Luke 24:25–27 are reported exactly as written, and so are 1 Peter 1:10–12 and Hebrews 4:2. A study draws no inference about how much Abraham, Moses or the prophets understood, and does not say what content “the gospel” carried in Galatians 3:8 or Hebrews 4:2.</w:t>
      </w:r>
    </w:p>
    <w:p>
      <w:pPr/>
      <w:r>
        <w:rPr/>
        <w:t>The Twelve (publisher ruling, 2026-10-05). Luke 18:34 (“they understood none of these things”) and John 20:9 (“as yet they knew not the scripture”) stand as written, reported beside the disciples’ confessions (Matthew 16:16; John 1:41–49; 6:69) and beside Luke 24:45 and John 2:22 and 12:16, without blending the two.</w:t>
      </w:r>
    </w:p>
    <w:p>
      <w:pPr/>
      <w:r>
        <w:rPr/>
        <w:t>Content of faith (publisher ruling, 2026-10-05). Rule 19 is applied: faith is the means in every passage, and the content of faith is what had been said or revealed to that person or group at that point. A study does not add a later revelation, whether the finished work of Christ or Pauline revelation, to an earlier believer’s faith, and does not state a shared saving ground. The reader-facing line for Hebrews and 1 Peter is “This reading rests on the letter’s own audience markers and setting.”</w:t>
      </w:r>
    </w:p>
    <w:p>
      <w:pPr/>
      <w:r>
        <w:rPr/>
        <w:t>Relation to other rules. Rule 23 is read with Rule 19 (ground of salvation and content of faith) and Rule 15. Study 54 (Justification) keeps the verdict and its ground; a faith-before-the-Cross study cites it only as a neighbour. First applied to Study 75 (Faith Before the Cross).</w:t>
      </w:r>
    </w:p>
    <w:p w14:paraId="31BC0D84" w14:textId="77777777" w:rsidR="00B61C01" w:rsidRDefault="0049255F">
      <w:pPr>
        <w:pStyle w:val="Heading2"/>
      </w:pPr>
      <w:r>
        <w:rPr/>
        <w:t>Rule 24 — The armour of God: Ephesians 6:10–20 (2026-10-05)</w:t>
      </w:r>
    </w:p>
    <w:p>
      <w:pPr/>
      <w:r>
        <w:rPr/>
        <w:t>Report as written (publisher ruling, 2026-10-05). A study on Ephesians 6:10–20 reports each verse as written, with the KJV spelling “armour,” and places the passage after the household code that precedes it (Ephesians 5:15–6:9, where 6:10 opens with “Finally”). It records what the passage says to do, with what, and against whom, and what it leaves unsaid. Paul’s request in 6:19–20 (“the mystery of the gospel,” “an ambassador in bonds”) is reported as written.</w:t>
      </w:r>
    </w:p>
    <w:p>
      <w:pPr/>
      <w:r>
        <w:rPr/>
        <w:t>The powers (publisher ruling, 2026-10-05). Ephesians 6:12 names “principalities,” “powers,” “the rulers of the darkness of this world” and “spiritual wickedness in high places.” A study reports the four titles as written and may note only that “high places” renders the same Greek word as “heavenly places” in Ephesians 1:3, 1:20, 2:6 and 3:10. It assigns no ranking to the titles, draws no map of the unseen world, identifies them with no persons or places, and states no present jurisdiction of the Body over these powers; Studies 30 and 57 keep their own boundaries.</w:t>
      </w:r>
    </w:p>
    <w:p>
      <w:pPr/>
      <w:r>
        <w:rPr/>
        <w:t>No added commands (publisher ruling, 2026-10-05). A study reports the verbs the passage uses (be strong, put on, stand, withstand, take, pray, watch) and adds no command to bind, rebuke, cast out or attack powers that the passage does not give. It may state, as a report of the text, that the passage contains no such command; it states no doctrine about what may or may not be done elsewhere.</w:t>
      </w:r>
    </w:p>
    <w:p>
      <w:pPr/>
      <w:r>
        <w:rPr/>
        <w:t>The gospel of peace and the word of God (publisher ruling, 2026-10-05). Ephesians 6:15 and 6:17 are reported as written. A study does not identify “the gospel of peace” with a particular gospel and does not state which “word” is meant beyond what the text says.</w:t>
      </w:r>
    </w:p>
    <w:p>
      <w:pPr/>
      <w:r>
        <w:rPr/>
        <w:t>Parallels (publisher ruling, 2026-10-05). Isaiah 59:17 (with 11:5) and 1 Thessalonians 5:8 are reported beside Ephesians 6 as parallels in wording only. A study does not say that Paul fulfils Isaiah or that Israel’s promise transfers, and the 1 Thessalonians passage takes “This reading rests on the passage’s own audience markers and setting.”</w:t>
      </w:r>
    </w:p>
    <w:p>
      <w:pPr/>
      <w:r>
        <w:rPr/>
        <w:t>Relation to other rules. Ephesians is a PAM-assigned book with no entry for 6:10–20, so the reader-facing line “This reading rests on the passage’s own audience markers and setting.” applies. Rule 24 is read with Rule 15 and with the boundaries of Studies 30 and 57. First applied to Study 76 (Strength to Stand).</w:t>
      </w:r>
    </w:p>
    <w:p w14:paraId="31BC0D84" w14:textId="77777777" w:rsidR="00B61C01" w:rsidRDefault="0049255F">
      <w:pPr>
        <w:pStyle w:val="Heading2"/>
      </w:pPr>
      <w:r>
        <w:rPr/>
        <w:t>Rule 25 — The believer and government: Romans 13:1–7 (2026-10-05)</w:t>
      </w:r>
    </w:p>
    <w:p>
      <w:pPr/>
      <w:r>
        <w:rPr/>
        <w:t>Report as written (publisher ruling, 2026-10-05). A study on Romans 13:1–7 reports each clause as written, including “every soul,” “the higher powers,” “the powers that be are ordained of God,” “ministers of God,” “bear not the sword in vain,” “a revenger to execute wrath,” “for conscience sake,” “tribute” and “custom.” The study names no particular government, adds no limit that the text does not state, and draws no doctrine on war, policing, capital punishment, civil disobedience, voting or political action.</w:t>
      </w:r>
    </w:p>
    <w:p>
      <w:pPr/>
      <w:r>
        <w:rPr/>
        <w:t>Context in order (publisher ruling, 2026-10-05). The study reads Romans 12:14–21, then 13:1–7, then 13:8–10, in that order. Romans 13:8–10 is reported as written; the jurisdiction of the Law is left to Study 59.</w:t>
      </w:r>
    </w:p>
    <w:p>
      <w:pPr/>
      <w:r>
        <w:rPr/>
        <w:t>Parallels (publisher ruling, 2026-10-05). Titus 3:1, 1 Timothy 2:1–2, 1 Peter 2:13–17, Matthew 22:15–22 and Acts 4:19 and 5:29 are each reported in their own setting, and no parallel is read as answering another. Acts 4:19 and 5:29 are reported as the apostles’ answer to the council at Jerusalem, not as the answer to Romans 13 and not as a rule for the Body. Matthew and 1 Peter take the reader-facing line for a book or passage.</w:t>
      </w:r>
    </w:p>
    <w:p>
      <w:pPr/>
      <w:r>
        <w:rPr/>
        <w:t>The word “powers” (publisher ruling, 2026-10-05). Romans 13:1 and Ephesians 6:12 (with 1:21) are reported side by side as using the same word. A study does not identify the “higher powers” of Romans 13:1 with the unseen powers of Ephesians, and does not identify the unseen powers with human rulers.</w:t>
      </w:r>
    </w:p>
    <w:p>
      <w:pPr/>
      <w:r>
        <w:rPr/>
        <w:t>Passages left out (publisher ruling, 2026-10-05). Revelation 13 and the final-ruler passages are not taken up in a study on Romans 13; the study may say only that Study 74 reads them. Nothing is said about whether any particular ruler falls under Romans 13:1–7.</w:t>
      </w:r>
    </w:p>
    <w:p>
      <w:pPr/>
      <w:r>
        <w:rPr/>
        <w:t>Address and wording (publisher ruling, 2026-10-05). Romans 1:7 and “every soul” (13:1) are reported as written, and the passage is assigned to no program. The reader-facing line is “This reading rests on the passage’s own audience markers and setting.” Philippians 3:20 is reported as written beside Romans 13:7 and takes “This reading rests on the letter’s own audience markers and setting.”</w:t>
      </w:r>
    </w:p>
    <w:p>
      <w:pPr/>
      <w:r>
        <w:rPr/>
        <w:t>Relation to other rules. Rule 25 is read with Rule 24 (the word “powers”) and Rule 22 (final-ruler passages). First applied to Study 77 (The Believer and Government).</w:t>
      </w:r>
    </w:p>
    <w:p w14:paraId="31BC0D84" w14:textId="77777777" w:rsidR="00B61C01" w:rsidRDefault="0049255F">
      <w:pPr>
        <w:pStyle w:val="Heading2"/>
      </w:pPr>
      <w:r>
        <w:rPr/>
        <w:t>Rule 26 — The Sabbath: sign, rest and day (2026-10-05)</w:t>
      </w:r>
    </w:p>
    <w:p>
      <w:pPr/>
      <w:r>
        <w:rPr/>
        <w:t>Genesis 2:2–3 (publisher ruling, 2026-10-05). The passage is reported as written: God rested on the seventh day, blessed it and sanctified it. No command to Adam is stated in the passage, and a study does not call the Sabbath a creation command given to all mankind.</w:t>
      </w:r>
    </w:p>
    <w:p>
      <w:pPr/>
      <w:r>
        <w:rPr/>
        <w:t>Sinai and the sign (publisher ruling, 2026-10-05). Exodus 20:8–11, 31:12–17 and Deuteronomy 5:12–15 are reported as written, with Exodus 31:13–17 (“a sign between me and the children of Israel”) fixing the audience as Israel at Sinai. Mark 2:27 (“The sabbath was made for man”) is reported as written in its own setting, and no universal doctrine is drawn from it.</w:t>
      </w:r>
    </w:p>
    <w:p>
      <w:pPr/>
      <w:r>
        <w:rPr/>
        <w:t>The Body (publisher ruling, 2026-10-05). Romans 14:5–6, Galatians 4:9–11 and Colossians 2:16–17 are reported as written. The study may report, as a report of the text and not as a doctrine, that no passage addressed to the Body commands a day. The Body is in no Israelite covenant, and the Law’s jurisdiction is left to Study 59.</w:t>
      </w:r>
    </w:p>
    <w:p>
      <w:pPr/>
      <w:r>
        <w:rPr/>
        <w:t>Paul in the synagogue (publisher ruling, 2026-10-05). Paul’s reasoning on the Sabbath days in Acts 13, 16, 17 and 18 is audience-specific proclamation, read under Rule 18; it is not Sabbath-keeping by the Body and not a rule for the Body.</w:t>
      </w:r>
    </w:p>
    <w:p>
      <w:pPr/>
      <w:r>
        <w:rPr/>
        <w:t>The first day and “the Lord’s day” (publisher ruling, 2026-10-05). Acts 20:7, 1 Corinthians 16:2 and Revelation 1:10 are reported as written. A study does not equate “the Lord’s day” with Sunday or with the Day of the Lord, and does not call the first day a Sabbath or a replacement for the Sabbath. Acts 20:7 is report-only, as in Rule 20.</w:t>
      </w:r>
    </w:p>
    <w:p>
      <w:pPr/>
      <w:r>
        <w:rPr/>
        <w:t>Hebrews 4 (publisher ruling, 2026-10-05). “A rest” and “sabbatismos” are reported as written. A study does not identify the rest as heaven, the kingdom or a present spiritual rest, and Hebrews takes “This reading rests on the letter’s own audience markers and setting.”</w:t>
      </w:r>
    </w:p>
    <w:p>
      <w:pPr/>
      <w:r>
        <w:rPr/>
        <w:t>Future passages (publisher ruling, 2026-10-05). Isaiah 66:23 and Ezekiel 44–46 are reported as written within Israel’s prophetic hope, with no timing and no application to the Body.</w:t>
      </w:r>
    </w:p>
    <w:p>
      <w:pPr/>
      <w:r>
        <w:rPr/>
        <w:t>Relation to other rules. Rule 26 is read with Rules 14, 15, 18 and 20. First applied to Study 78 (The Sabbath and Its Meanings).</w:t>
      </w:r>
    </w:p>
    <w:p w14:paraId="31BC0D84" w14:textId="77777777" w:rsidR="00B61C01" w:rsidRDefault="0049255F">
      <w:pPr>
        <w:pStyle w:val="Heading2"/>
      </w:pPr>
      <w:r>
        <w:rPr/>
        <w:t>Rule 27 — The words for the unseen world and the lake of fire (2026-10-05)</w:t>
      </w:r>
    </w:p>
    <w:p>
      <w:pPr/>
      <w:r>
        <w:rPr/>
        <w:t>The four words (publisher ruling, 2026-10-05). Sheol, Hades, Gehenna and the lake of fire are each reported where they stand, with the original word named and the KJV’s English words (“hell,” “grave,” “pit”) reported as the translators’ choices. A study does not merge the words into one place or one sequence and does not call them stages of one process.</w:t>
      </w:r>
    </w:p>
    <w:p>
      <w:pPr/>
      <w:r>
        <w:rPr/>
        <w:t>Luke 16:19–31 (publisher ruling, 2026-10-05). The passage is reported as the Lord’s account in its own setting (Luke 16:1, 14–15). A study does not say whether it is a parable or a narrative and draws no teaching from it on the state of the dead or of every person after death.</w:t>
      </w:r>
    </w:p>
    <w:p>
      <w:pPr/>
      <w:r>
        <w:rPr/>
        <w:t>Gehenna (publisher ruling, 2026-10-05). The valley of the son of Hinnom (2 Kings 23:10; Jeremiah 7:31–32; 19:6) is reported before the word is read in the Gospels. Each Gospel passage is reported with its own audience, and none is applied to the Body. A study may report, as a report of the text, that none of Paul’s letters uses the word. James 3:6 takes “This reading rests on the letter’s own audience markers and setting.”</w:t>
      </w:r>
    </w:p>
    <w:p>
      <w:pPr/>
      <w:r>
        <w:rPr/>
        <w:t>The lake of fire (publisher ruling, 2026-10-05). Revelation 19:20, 20:10, 20:14–15 and 21:8 are reported as written, with Revelation 1:18, 6:8 and 20:13 (“death and hell delivered up the dead”). A study adds no sequence, no doctrine on duration or on conscious experience, and no statement on who enters beyond what each clause says. Revelation is reported with the audience it names (1:1, 1:4) and no program assignment beyond that.</w:t>
      </w:r>
    </w:p>
    <w:p>
      <w:pPr/>
      <w:r>
        <w:rPr/>
        <w:t>Tartarus and the neighbouring words (publisher ruling, 2026-10-05). 2 Peter 2:4, Jude 6, Luke 8:31, Romans 10:7, Ephesians 4:9 and the “bottomless pit” passages (Revelation 9:1–2; 11:7; 17:8; 20:1–3) are reported as written. A study does not identify the angels or the event of 2 Peter 2:4 and Jude 6, does not merge the deep and the lake, and does not identify “the lower parts of the earth” or “the deep” with Sheol or Hades. 2 Peter and Jude take “This reading rests on the letters’ own audience markers and setting.”</w:t>
      </w:r>
    </w:p>
    <w:p>
      <w:pPr/>
      <w:r>
        <w:rPr/>
        <w:t>Death and the soul (publisher ruling, 2026-10-05). A study does not describe death as the end or the soul as immortal, and builds no doctrine of the soul from Psalm 16:10, Matthew 10:28, Ecclesiastes 9:10 or the passages beside them. Passages that speak of the dead as silent and passages that speak of the dead as speaking are each reported as written and are not reconciled.</w:t>
      </w:r>
    </w:p>
    <w:p>
      <w:pPr/>
      <w:r>
        <w:rPr/>
        <w:t>Paul’s letters (publisher ruling, 2026-10-05). 2 Corinthians 5:6–8, Philippians 1:21–24, 1 Thessalonians 4:13–18 and 1 Corinthians 15:18, 55 are reported as written, including “asleep.” A study does not say where the dead are now. Studies 31, 49 and 68 are cited only as neighbours.</w:t>
      </w:r>
    </w:p>
    <w:p>
      <w:pPr/>
      <w:r>
        <w:rPr/>
        <w:t>Relation to other rules. Rule 27 is read with Rule 22 (the beast and the false prophet), Rule 24 (the angels and the powers) and Rule 26 (Isaiah 66). First applied to Study 79 (The Realms of the Dead).</w:t>
      </w:r>
    </w:p>
    <w:p w14:paraId="31BC0D84" w14:textId="77777777" w:rsidR="00B61C01" w:rsidRDefault="0049255F">
      <w:pPr>
        <w:pStyle w:val="Heading2"/>
      </w:pPr>
      <w:r>
        <w:rPr/>
        <w:t>Rule 28 — “Foundation of the world”, the Lamb and the foreordaining passages (2026-10-05)</w:t>
      </w:r>
    </w:p>
    <w:p>
      <w:pPr/>
      <w:r>
        <w:rPr/>
        <w:t>Each use of the phrase (publisher ruling, 2026-10-05). Every use of “the foundation of the world” is reported with its governing word — “before” (John 17:24; Ephesians 1:4; 1 Peter 1:20) or “from” and “since” (Matthew 13:35; 25:34; Luke 11:50; Hebrews 4:3; 9:26; Revelation 13:8; 17:8). A study does not treat the ten uses as one statement or as naming one referent, and keeps “before the world began” and “since the world began” distinct from them.</w:t>
      </w:r>
    </w:p>
    <w:p>
      <w:pPr/>
      <w:r>
        <w:rPr/>
        <w:t>Revelation 13:8 and 17:8 (publisher ruling, 2026-10-05). Revelation 13:8 is reported as written, with both possible attachments of “from the foundation of the world” named (to “slain” or to “written”) and the question left open; Revelation 17:8 is reported beside it. A study adds no doctrine from either construction.</w:t>
      </w:r>
    </w:p>
    <w:p>
      <w:pPr/>
      <w:r>
        <w:rPr/>
        <w:t>1 Peter 1:18–21 (publisher ruling, 2026-10-05). The passage is reported as written, with “foreordained” and “manifest in these last times” each recorded. A study adds no later revelation to earlier believers (Rules 19 and 23) and states no shared saving ground. 1 Peter takes “This reading rests on the letter’s own audience markers and setting.”</w:t>
      </w:r>
    </w:p>
    <w:p>
      <w:pPr/>
      <w:r>
        <w:rPr/>
        <w:t>Foreordaining and foreknowledge (publisher ruling, 2026-10-05). Acts 2:23; 4:27–28; Romans 8:29 and 1 Peter 1:2 are reported as written. A study draws no doctrine on the predestination of individuals or on free will, and does not state how foreknowledge and determination relate.</w:t>
      </w:r>
    </w:p>
    <w:p>
      <w:pPr/>
      <w:r>
        <w:rPr/>
        <w:t>Ephesians 1:4 (publisher ruling, 2026-10-05). The verse is reported as written and is not equated with the audiences of 1 Peter or Revelation. Studies 50, 52 and 57 are cited only as neighbours, and the Mystery question is left to Study 57.</w:t>
      </w:r>
    </w:p>
    <w:p>
      <w:pPr/>
      <w:r>
        <w:rPr/>
        <w:t>The Lamb passages (publisher ruling, 2026-10-05). Genesis 3:15; Exodus 12; Isaiah 53:7; John 1:29, 36; Acts 8:32 and 1 Corinthians 5:7 are each reported in their own setting. A study states no measure of what was understood before the Cross and does not join the texts into one chain beyond what each says.</w:t>
      </w:r>
    </w:p>
    <w:p>
      <w:pPr/>
      <w:r>
        <w:rPr/>
        <w:t>Hebrews 4:3 and 9:26 (publisher ruling, 2026-10-05). Both are reported as written and take “This reading rests on the letter’s own audience markers and setting.” “The foundation of the world” in them is not identified with the Lamb’s slaying. Timing words (Galatians 4:4; Romans 5:6; 1 Timothy 2:6; Titus 1:3; Mark 1:15) are reported as written, and the neighbouring phrases (2 Timothy 1:9; Titus 1:2; Acts 3:21; Romans 16:25; 1 Corinthians 2:7; Ephesians 3:9) are kept distinct.</w:t>
      </w:r>
    </w:p>
    <w:p>
      <w:pPr/>
      <w:r>
        <w:rPr/>
        <w:t>Relation to other rules. Rule 28 is read with Rules 19 and 23 (the content of faith), Rule 21 (the throne) and Rule 22 (the beast). First applied to Study 80 (The Lamb Foreordained).</w:t>
      </w:r>
    </w:p>
    <w:p w14:paraId="31BC0D84" w14:textId="77777777" w:rsidR="00B61C01" w:rsidRDefault="0049255F">
      <w:pPr>
        <w:pStyle w:val="Heading2"/>
      </w:pPr>
      <w:r>
        <w:rPr/>
        <w:t>Rule 29 — Interpretive modes and the Prophetic Commentary Series (2026-10-06)</w:t>
      </w:r>
    </w:p>
    <w:p>
      <w:pPr/>
      <w:r>
        <w:rPr/>
        <w:t>Two modes (publisher directive, 2026-10-06). The Framework authorizes two interpretive modes. Mode 1, text-governed interpretation, governs the Digital Studies: a study reports what the immediate text states, names no unnamed figure, assigns no symbol, draws no cross-passage identity and states no doctrine where the text is silent. Mode 2, canonical identity synthesis, governs the Prophetic Commentary Series: a volume may argue, assert and defend positions from the whole canon, identify unnamed figures, interpret symbols, assign figures to a program on canonical evidence and write polemic against mainstream readings. All existing Digital Studies stand under Mode 1, unmodified. Mode 2 does not invalidate Mode 1, and Mode 1 does not restrict Mode 2. A third mode, Mode 3 (contextual exegesis), governs the Readers Question Series under Rule 31.</w:t>
      </w:r>
    </w:p>
    <w:p>
      <w:pPr/>
      <w:r>
        <w:rPr/>
        <w:t>Which rules bind which mode (publisher ruling, 2026-10-06). Rules 7, 11, 13–19 and 32 bind both modes (program boundaries, identity, salvation architecture, the Olive Tree boundaries, Israel and the Body, eternal-state distinctions). Rule 8 and Rules 20–28 and 30 bind Mode 1 only. Rules 9 and 10 apply in both modes where a settled ruling is stated and where the review is made; Rule 12 binds Mode 1 only. In Mode 2 the program boundaries stay absolute: Prophecy is not Mystery, Israel is not the Body, program membership is permanent, the Body is absent from Revelation, Daniel’s seventieth week and the Day of the Lord, and Acts 9–28 stays the overlap.</w:t>
      </w:r>
    </w:p>
    <w:p>
      <w:pPr/>
      <w:r>
        <w:rPr/>
        <w:t>Declaration and reader-facing form (publisher directive, 2026-10-06). Every output carries its mode in the working notes and the file header: Digital Studies, Mode 1; Commentary Volumes, Mode 2; Readers Question Series, Mode 3 (Rule 31). The mode label is a working term and never appears in reader-facing text (Rule 14). A Commentary Volume opens instead with a plain statement that the volume argues a position and defends it from the whole canon.</w:t>
      </w:r>
    </w:p>
    <w:p>
      <w:pPr/>
      <w:r>
        <w:rPr/>
        <w:t>Definitions (publisher ruling, 2026-10-06). Prophetic Pattern Matching: the interpretive process of tracing repeated covenantal, historical or symbolic patterns across the prophetic books to identify the canonical trajectory of a figure, identity or theme. Non-Transfer Principle: program-specific identity, covenant, inheritance or promise may never be transferred from Israel’s Prophecy Program to the Body’s Mystery Program, even when shared vocabulary appears.</w:t>
      </w:r>
    </w:p>
    <w:p>
      <w:pPr/>
      <w:r>
        <w:rPr/>
        <w:t>Identity Synthesis Protocol (publisher ruling, 2026-10-06). When a volume identifies an unnamed figure it states the canonical evidence, the symbol consistency, the program assignment, the prophetic pattern matched, how right division is kept and that the Non-Transfer Principle is respected.</w:t>
      </w:r>
    </w:p>
    <w:p>
      <w:pPr/>
      <w:r>
        <w:rPr/>
        <w:t>Required conclusions for the Commentary Series (publisher ruling, 2026-10-06). The rider of Revelation 6:2 is the Antichrist, the prophetic counterfeit of the true rider of Revelation 19:11. The rider of Revelation 19:11 is Christ himself, the true Messianic warrior. The beast of Revelation 13 is Daniel’s little horn, the same figure. The scarlet beast of Revelation 17 is the Antichrist in his kingdom-coalition form, the political embodiment of the same figure. A volume that treats these passages writes them as the position and defends them with the full canonical argument.</w:t>
      </w:r>
    </w:p>
    <w:p>
      <w:pPr/>
      <w:r>
        <w:rPr/>
        <w:t>Series standard (publisher ruling, 2026-10-06). The series is the Prophetic Commentary Series, one theme per volume, 50–70 pages, imprint Zay-Marie Press, KJV only, Roboto, minimalist geometric cover, priced $14.99–$19.99, bibliography required, in a premium doctrinal series in the catalog. Polemic is allowed, but opponents must be quoted accurately: a quotation is used only from a source that has been fetched and checked against the source, with author, work and page given, and no view is put into an opponent’s mouth that the source does not state. The full standard is kept in controlling-documents/Prophetic_Commentary_Series_Standard_v1.9.md and is binding with this rule.</w:t>
      </w:r>
    </w:p>
    <w:p>
      <w:pPr/>
      <w:r>
        <w:rPr/>
        <w:t>Cover size and numbering (publisher directive, 2026-10-07). Every commentary volume cover in every commentary series uses the size set for the Prophetic Commentary Series: artwork and proofs at 1600 × 2400 px (2:3), website covers at 1024 × 1536 px as .jpg and .webp, and the interior cover page full-bleed at 9677 × 14515 twips. Supplied artwork smaller than 1600 × 2400 is flagged to the publisher and a larger original is requested. Volumes are numbered within their own series (Volume 1 to N), not across the whole collection.</w:t>
      </w:r>
    </w:p>
    <w:p>
      <w:pPr/>
      <w:r>
        <w:rPr/>
        <w:t>Series pages (publisher directive, 2026-10-07). A commentary series has no page of its own. The Commentary Collection page (commentary.html) shows every commentary series with its description, its volumes and its volume blurbs, and each volume page links back to it. The earlier series addresses (prophetic-commentary-series.html and prophetic-identity-commentary-series.html) redirect to the Collection page. A volume page remains outside the Digital Studies catalog, bundles and Library Edition.</w:t>
      </w:r>
    </w:p>
    <w:p>
      <w:pPr/>
      <w:r>
        <w:rPr/>
        <w:t>Commentary preview pages (publisher directive, 2026-10-09). Every commentary volume page, in every commentary series, shows four pages under “A Look Inside”, rendered from the final approved PDF (the interior with its cover) and labelled by interior page number (the footer number, the PDF page minus one): (1) the Table of Contents (interior page 1), which shows the order of the argument from the Preface to the Bibliography; (2) the Preface (interior page 2), which states the question the volume asks and how it proceeds; (3) one page headed “The Argument at Work” (or, where the volume has a fitting title, a title naming what is on the page, such as “Clause by Clause” or “The Three Accounts Compared”), taken from the body of the argument, a full page on which the reader can see the method: a passage read in order, in the King James Version, with what the text says and what it leaves unsaid, or the passages set side by side; and (4) one page from the objections-and-replies chapter (“Objections and Replies” or “Objections and Answers”), on which modern writers on both sides are named and each objection is answered from the text. The two pages that follow the Preface are shown in the order they fall in the volume. Rationale. A reader buys an argument, so the four pages show the four things the argument rests on: its scope (the contents), its question (the Preface), its method (a page of the passage actually read) and its fairness (the opposing writers heard in their own words and answered). The preview-spoiler standard for Digital Studies (Section 17) does not apply, because a volume states its thesis openly in its Preface and on its page; the pages are chosen to show the work, not to hide the answer. Selection and checks. The method page and the objections page are chosen by Claude, shown to the publisher in the rendered preview with the interior page number of each, and approved with the page before any push. Each chosen page is a full page of running text (or text with a table that does not break across the page edge), does not open on a split table or end on a lone heading, and contains no internal working term. Each preview image is rendered at the page’s own aspect (1041 × 1560 px for the commentary page), is named for its series, volume and page (for example acts-01-page-16.jpg), and is read by OCR for the working terms listed in Rule 14 before the preview is shown. The volume page’s card for each image carries the interior page number, a title and a one-line description that says what to look for. This replaces the earlier series wording (the Covenantal Standard’s “Table of Contents, the Preface, and two pages of argument” and the Prophetic Standard’s “Table of Contents, the Preface, and one page of argument”), which the published volume pages did not follow. The twenty-five published commentary pages (Acts, Covenantal, Prophecy &amp; Mystery, Prophetic Identity and Typology, five each) already show these four pages and stand as built.</w:t>
      </w:r>
    </w:p>
    <w:p>
      <w:pPr/>
      <w:r>
        <w:rPr/>
        <w:t>Modern scholarly sources and citation (publisher directive, 2026-10-06; revised by the publisher’s directive of 2026-10-06, later: sources never hold up a volume; revised again the same day: modern sources only). (1) Cite by passage (book, chapter, verse or section), not by page. A page number is printed only when Claude has read it in a text it holds in full (a publisher-supplied text that shows pages, or a free full text); Claude never chases page numbers through blogs, catalogs or previews, and the publisher is never asked to buy, borrow or consult a book. (2) A modern writer is quoted only where Claude has read the actual words in a free full text: text the publisher pastes or attaches, the author’s own free articles, or a public-domain book. Otherwise the volume describes the writer’s position in its own words, names the author and work, and uses no quotation marks. (3) Modern sources only. Commentary Volumes cite and reference modern writers, scholars and theologians, meaning writers of the twentieth century and later. Old commentaries and their authors, for example Seiss, Alford, Gill, Barnes, Newton and Matthew Henry, and any other work from before 1900, are not cited, quoted or listed in the bibliography, even where the work is in the public domain and free to read. A modern work that quotes an older writer is not a reason to name the older writer. A modern writer the publisher names is used on the same conditions as the authorized pool. (4) A volume carries up to five modern voices and no minimum; a volume with fewer is complete. The authorized pool names who may be used and does not require any of them. Revelation: G. K. Beale, Grant Osborne, Robert Mounce, Craig Koester, David Aune, Buist Fanning, Simon Kistemaker. Daniel: Joyce Baldwin, John Goldingay, Tremper Longman III, Stephen Miller, Iain Duguid. Eschatology and the Antichrist: Kim Riddlebarger, Michael Vlach, Paul Benware, John Walvoord, Charles Ryrie. Other well-known modern writers (for example Hendriksen, Ladd, Michaels) may be used on the same conditions. (5) The bibliography gives author, title, publisher and year, with a one-line flag only where a quotation is taken from another page that quotes it or where a view is described and not quoted; it carries no list of what was or was not read, and no verification task is opened for the publisher. (6) A commentary known only through a published review is described by its general method with the reviewer cited, and no view is attributed unless words read state it; no copyrighted commentary text is reproduced beyond short, exact quotations. This replaces the earlier requirements to fetch and verify every quotation, to give full details with printed pages, to include 3–5 modern voices, and to flag paraphrases for the publisher’s review. Volume 1 is priced $14.99 and a separate series page, outside the Digital Studies catalog, bundles and Library Edition, is approved.</w:t>
      </w:r>
    </w:p>
    <w:p>
      <w:pPr/>
      <w:r>
        <w:rPr/>
        <w:t>Verse-level Scripture index (publisher directive, 2026-10-07). Every Commentary Volume, in every commentary series, carries a verse-level Scripture index titled “Where the Passages Are Read” as its last appendix, after any key-passages appendix and before the Bibliography. (1) One row for each passage as the volume cites it (book, chapter and verse), in canonical order, covering the Preface, the Thesis, the chapters and the Conclusion; appendices are not indexed. (2) Columns: Passage; Where it is read, giving each numbered section as N.M with the page where the citation stands (for example “1.3 (p. 5); 13.2 (p. 29)”), “ch. N” where a chapter has no numbered section, and “Preface”, “Thesis” and “Conclusion” for those parts; and, where the volume prints the passage in full in a key-passages appendix, a third column carrying that entry’s label (for example F.5), or a dash where the passage is not printed. A volume with no key-passages appendix uses the first two columns only. (3) Page numbers are the footer page numbers of the final PDF and are generated from the rendered PDF and the chapter text, never typed by hand; the index, the Table of Contents and the page count are settled in the same build, and every row is checked against its rendered page before delivery. (4) The key-passages appendix and the index are separate appendices that work together: the first prints the verses, the second tells the reader where each is read. (5) Any change to a volume’s text re-runs the index. The volume’s website page states the page count and lists the index among the appendices. Applied to Prophetic Identity Commentary Series Volumes 1–5 and Prophetic Commentary Series Volumes 1–5; every new volume carries it.</w:t>
      </w:r>
    </w:p>
    <w:p>
      <w:pPr/>
      <w:r>
        <w:rPr/>
        <w:t>Covenantal Commentary Series (publisher directive, 2026-10-07). A third commentary series is created, the Covenantal Commentary Series: four Commentary Volumes, written in Mode 2, in the order The Abrahamic Covenant, Abraham’s Seed, Inheritance and The Eternal Purpose of God (the themes and their order are the publisher’s). The Commentary Volume footer reads “ZAY-MARIE PRESS COVENANTAL COMMENTARY SERIES, VOLUME V • N” (V is the volume number within the series, N the page number), and the cover carries “VOLUME V” at the upper right and “COVENANTAL COMMENTARY SERIES” at the bottom. Each volume runs 50–70 pages including the cover, is KJV only and Roboto, is priced $14.99 unless the publisher says otherwise, follows the commentary cover size and numbering, the series-pages rule, the passage-citation and modern-sources-only rules and the verse-level Scripture index above, and is shown on the Commentary Collection page outside the Digital Studies catalog, bundles and Library Edition. Rules 7, 11 and 13–19 bind the series, including the standing Galatians 3 sentence (“The seed is prophetic fulfillment in Christ; the Body receives blessing through Christ alone, not through participation in the Abrahamic covenant.”) and Rule 19 (salvation is by faith in every program, the content of faith is what God revealed within each program, no later revelation is read back into an earlier believer’s faith and no shared saving ground is stated); Rules 8, 12 and 20–28 do not. The series record, Volume 1’s thesis and its three rulings (Galatians 3:7, 29 left to Volume 2 under the standing sentence; Romans 4 read as a pattern of faith, not enrolment in the covenant; Genesis 12:3 read as the nations blessed through Israel’s restored line) are kept in controlling-documents/Covenantal_Commentary_Series_Standard_v1.0.md and are binding with this rule. First applied to Commentary Volume 1 of the series, The Abrahamic Covenant. Digital Studies are unaffected.</w:t>
      </w:r>
    </w:p>
    <w:p>
      <w:pPr/>
      <w:r>
        <w:rPr/>
        <w:t>Objections chapter standard (Covenantal Commentary Series; publisher directive, 2026-10-07). In every Covenantal Commentary Volume the objections-and-replies chapter (Chapter 9 in Volume 1) is built in two movements. First, the thesis is fortified: the chapter cites two to four modern writers or scholars (20th century and later) who support the volume’s reading, each quoted only from words actually read in a free full text and each placed where his words bear on the passage in question. Second, the thesis is challenged: each serious objection is stated in the words of a named modern writer who holds the opposite view, set beside the supporting voices on the same passage, and answered from Scripture; where an opposing writer says something the volume agrees with, the reply says so. Every extract is short, checked against its source and cited by work or section, not by page; a writer whose words cannot be read in free full text is described in Claude’s own words with no quotation marks. For this series the supporting voices are a minimum of two and a maximum of four, and the opposing voices are as many as the objections require; this replaces “up to five voices, no minimum” for the Covenantal series only. The Prophetic and Prophetic Identity series keep their own wording. First applied to Covenantal Commentary Volume 1, The Abrahamic Covenant.</w:t>
      </w:r>
    </w:p>
    <w:p>
      <w:pPr/>
      <w:r>
        <w:rPr/>
        <w:t>Acts Commentary Series (publisher directive, 2026-10-08). A sixth commentary series is created, the Acts Commentary Series: five Commentary Volumes, written in Mode 2, each walking one section of the book of Acts in order through the two-program lens, in the order (1) Acts 1–8: What the Twelve Were Told, and Did; (2) The Spirit in Acts: Pentecost to Ephesus; (3) Paul Called and Sent: Acts 9, 13, 22 and 26; (4) Cornelius and the Council: Acts 10–15; (5) Acts 28: The Close of the Book (the titles and order are the publisher’s). The Commentary Volume footer reads “ZAY-MARIE PRESS ACTS COMMENTARY SERIES, VOLUME V • N” (V is the volume number within the series, N the page number), and the cover carries “VOLUME V” at the upper right and “ACTS COMMENTARY SERIES” at the bottom. Each volume runs 50–70 pages including the cover, is KJV only and Roboto, is priced $14.99 unless the publisher says otherwise, follows the commentary cover size and numbering, the series-pages rule, the passage-citation and modern-sources-only rules and the verse-level Scripture index above, uses the objections chapter standard of the Covenantal series, and is shown on the Commentary Collection page outside the Digital Studies catalog, bundles and Library Edition. Where a volume enters ground argued in another series or in the Digital Studies, it cites that work as a neighbour and answers its own narrower question. Rules 7, 11 and 13–19 bind the series, including Rule 17 (the remnant and the Body during Acts 9–28) and Rule 18 (Paul’s synagogue ministry and his commission); Rules 8, 12 and 20–28 do not. The series record, volume questions and drafting cautions are kept in controlling-documents/Acts_Commentary_Series_Standard_v1.0.md and are binding with this rule. Digital Studies are unaffected.</w:t>
      </w:r>
    </w:p>
    <w:p>
      <w:pPr/>
      <w:r>
        <w:rPr/>
        <w:t>Gospel Commentary Series (publisher directive, 2026-10-09). A seventh commentary series is created, the Gospel Commentary Series: five Commentary Volumes, written in Mode 2, each built around one narrower question on the four Gospels and not a walk through each Gospel, reading the Lord’s ministry before the Cross as what was told and done for Israel. Provisional lineup (titles and order to be confirmed, each volume’s thesis, outline and rulings approved before drafting): (1) The Sermon on the Mount; (2) The Lord’s Ministry to Israel; (3) The Olivet Discourse; (4) What the Twelve Understood; (5) The Upper Room (John 13–17). Footer “ZAY-MARIE PRESS GOSPEL COMMENTARY SERIES, VOLUME V • N”; cover “VOLUME V” at the upper right and “GOSPEL COMMENTARY SERIES” at the bottom; 50–70 pages, KJV, Roboto, $14.99 per volume, series bundle $54.99; Commentary Collection anchor #gospel, volume pages commentary-gospel-0N-&lt;slug&gt;.html; objections chapter in the Covenantal pattern; passage citation, modern sources only and the verse-level Scripture index apply; Rules 7, 11 and 13–19 bind, Rules 8, 12 and 20–28 do not. Overlap check: Parable Studies 1–35, Studies 2, 25, 29, 41, 62, 66, 70, 71 and 75, Prophecy &amp; Mystery Volumes 3 and 5, Typology Volume 2 and the Acts Commentary Series are cited as neighbours. The Complete Commentary Library price for 35 volumes is not yet ruled; the Commentary Collection page keeps the 30-volume price until the publisher rules it and the series is added. Series Standard: controlling-documents/Gospel_Commentary_Series_Standard_v1.0.md. Digital Studies are unaffected.</w:t>
      </w:r>
    </w:p>
    <w:p>
      <w:pPr/>
      <w:r>
        <w:rPr/>
        <w:t>Commentary Collection pricing (publisher directive, 2026-10-08). The Commentary Collection prices are recorded here as they currently stand on the Commentary Collection page. The publisher has said prices may change; a change is made on the page, in this paragraph and in CLAUDE.md in the same pass. Every volume in every commentary series is $14.99. Each series has a series bundle of its five volumes at $54.99 (individually $74.95; save $19.96). The Complete Commentary Library, all 25 volumes in the five series, is $229.99 (individually $374.75; save $144.76, about 39%, and $44.96 less than buying the five series bundles separately). Bundles are offered on the Commentary Collection page only, outside the Digital Studies catalog, study paths and Library Edition, whose prices are unchanged. Digital checkout is not yet open. Digital Studies content rules are unaffected. Acts Commentary Series pricing (publisher directive, 2026-10-08): with the sixth series the Complete Commentary Library of all 30 volumes is $274.99 (individually $449.70; save $174.71, about 39%, and $54.95 less than buying the six series bundles separately); each series bundle stays $54.99 (save $19.96) and each volume $14.99. The $274.99 price takes effect on the Commentary Collection page when the Acts Commentary Series is added to it; until then the page shows $229.99 for 25 volumes. Gospel Commentary Series pricing (publisher directive, 2026-10-09): with the seventh series the Gospel series bundle of its five volumes is $54.99 (individually $74.95; save $19.96; 277 pages), and the Complete Commentary Library of all 35 volumes is $319.99 (individually $524.65; save $204.66, about 39%, and $64.94 less than buying the seven series bundles separately), which replaces the $274.99 price for 30 volumes on the Commentary Collection page; each volume stays $14.99.</w:t>
      </w:r>
    </w:p>
    <w:p>
      <w:pPr/>
      <w:r>
        <w:rPr/>
        <w:t>Relation to other rules. Rule 29 is read with Rules 7, 13–19 and 32 (both modes) and with Rules 8 and 20–28 (Mode 1 only). First applied to Commentary Volume 1, The Two Riders in Revelation.</w:t>
      </w:r>
    </w:p>
    <w:p w14:paraId="31BC0D84" w14:textId="77777777" w:rsidR="00B61C01" w:rsidRDefault="0049255F">
      <w:pPr>
        <w:pStyle w:val="Heading2"/>
      </w:pPr>
      <w:r>
        <w:rPr/>
        <w:t>Rule 30 — Praying in the Spirit, praying with the spirit and speaking in tongues (2026-10-09)</w:t>
      </w:r>
    </w:p>
    <w:p>
      <w:pPr/>
      <w:r>
        <w:rPr/>
        <w:t>Passages reported as written (publisher ruling, 2026-10-09). Romans 8:26–27; 1 Corinthians 12–14 (including 13:8–10, 14:2, 4, 14–15 and 14:22); Ephesians 6:18; Jude 20; and Acts 2:4, 10:46 and 19:6 are each reported as written in their own setting, with the speaker, the audience, the verb and what the passage leaves unsaid recorded. The KJV’s printed marks (the italic “unknown” in “unknown tongue” at 1 Corinthians 14:2, 4, 13, 14, 19 and 27, and the small-letter “spirit” at 14:2, 14, 15 and 16) are reported, and no conclusion is drawn from them.</w:t>
      </w:r>
    </w:p>
    <w:p>
      <w:pPr/>
      <w:r>
        <w:rPr/>
        <w:t>No merging and no separating beyond the text (publisher ruling, 2026-10-09). A study does not state that “praying in the Spirit,” “praying with the spirit,” “praying in an unknown tongue” and “speaking with tongues” name one practice, and does not state that they name different practices. Shared words and missing words are recorded, a shared word is not treated as a shared meaning, and a missing word is not treated as a denial. A study may report that no passage uses “in the Spirit” and “tongue” together in one clause, and that 1 Corinthians 14:14–15 sets “pray in an unknown tongue” and “pray with the spirit” in neighbouring sentences.</w:t>
      </w:r>
    </w:p>
    <w:p>
      <w:pPr/>
      <w:r>
        <w:rPr/>
        <w:t>No statement on cessation, continuation or present practice (publisher ruling, 2026-10-09). A study states nothing on whether tongues, or any form of prayer or speech, continues, has ceased or is required of the Body today, and builds no doctrine of a prayer language. 1 Corinthians 13:8–10 and 14:22 are reported as written; the study does not say when “cease” occurs, does not identify “that which is perfect,” and does not decide whether “with the spirit” names the Holy Spirit or the speaker’s own spirit. Romans 8:26–27 is reported without identifying the “groanings which cannot be uttered” with tongues or with any wording elsewhere.</w:t>
      </w:r>
    </w:p>
    <w:p>
      <w:pPr/>
      <w:r>
        <w:rPr/>
        <w:t>Acts (publisher ruling, 2026-10-09). Acts 2:4 is reported within Acts 1–8; Acts 10:46 within the Cornelius account (Acts 10–11), a Prophecy Program event inside the overlap; and Acts 19:6 under Rule 11 with its standing wording. Acts 2:6 (“in his own language”) and 1 Corinthians 14:2 (“no man understandeth him”) stand as written and are not reconciled. Acts 8:17 and 9:17 may be reported as written with the note that the verses do not mention tongues, and no conclusion is drawn from what they do not say.</w:t>
      </w:r>
    </w:p>
    <w:p>
      <w:pPr/>
      <w:r>
        <w:rPr/>
        <w:t>Reader-facing lines (publisher ruling, 2026-10-09). Jude takes “This reading rests on the letter’s own audience markers and setting.” Romans 8, Ephesians 6 and the 1 Corinthians passages take “This reading rests on the passage’s own audience markers and setting.” No working term appears in the study.</w:t>
      </w:r>
    </w:p>
    <w:p>
      <w:pPr/>
      <w:r>
        <w:rPr/>
        <w:t>Neighbours and relation to other rules (publisher ruling, 2026-10-09). Studies 22, 25, 34, 38, 44 and 76 are cited only as neighbours; the armour of God is left to Study 76 under Rule 24. Rule 30 binds Mode 1 only; the Mode 2 reading of 1 Corinthians 14:22 and the tongues passages in the Acts Commentary Series is not applied in a Digital Study. It is read with Rules 11, 18 and 20. First applied to Study 81 (Praying in the Spirit).</w:t>
      </w:r>
    </w:p>
    <w:p w14:paraId="31BC0D84" w14:textId="77777777" w:rsidR="00B61C01" w:rsidRDefault="0049255F">
      <w:pPr>
        <w:pStyle w:val="Heading2"/>
      </w:pPr>
      <w:r>
        <w:rPr/>
        <w:t>Rule 31 — Mode 3 and the Readers Question Series (2026-10-10)</w:t>
      </w:r>
    </w:p>
    <w:p>
      <w:pPr/>
      <w:r>
        <w:rPr/>
        <w:t>Three modes (publisher directive, 2026-10-10). The Framework authorizes a third interpretive mode alongside the two in Rule 29. Digital Studies are Mode 1 (text-governed); the Commentary Series are Mode 2 (canonical identity synthesis); the Readers Question Series is Mode 3 (contextual exegesis). In Mode 3 an entry answers one reader’s question about one verse or short passage by stating what the verse means and arguing that meaning first from its own pericope and the chapter or chapters before it, with canonical support secondary. An entry may take a position, identify a figure and interpret a symbol, and may state as a conclusion what a Digital Study reports only as written (for example, the restrainer of 2 Thessalonians 2:6–7). Mode 3 does not invalidate Mode 1 or Mode 2, and neither restricts it.</w:t>
      </w:r>
    </w:p>
    <w:p>
      <w:pPr/>
      <w:r>
        <w:rPr/>
        <w:t>Which rules bind Mode 3 (publisher ruling, 2026-10-10). Rules 7, 11, 13–19 and 32 bind Mode 3 as they bind Modes 1 and 2. Rule 8, Rule 12, Rules 20–28 and Rule 30 bind Mode 1 only and do not bind Mode 3. Rules 9 and 10 apply where a settled ruling is stated and where the review is made. The program boundaries stay absolute: Prophecy is not Mystery, Israel is not the Body, program membership is permanent, the Body is absent from Revelation, Daniel’s seventieth week and the Day of the Lord, and Acts 9–28 stays the overlap.</w:t>
      </w:r>
    </w:p>
    <w:p>
      <w:pPr/>
      <w:r>
        <w:rPr/>
        <w:t>Method (publisher ruling, 2026-10-10). Every full entry runs in this order: (1) the answer, in one or two plain sentences; (2) the context, walking the argument through the pericope and the preceding chapter or chapters; (3) what carries the weight, each point marked as stated in the text, shown by the context, or inferred; (4) the other readings, stated fairly in their own terms with named modern writers, and the reason this answer is preferred; (5) what it means for the reader; and (6) related reading. The marks in step 3 let an entry state a firm conclusion where the text supports one and mark an inference where it does not.</w:t>
      </w:r>
    </w:p>
    <w:p>
      <w:pPr/>
      <w:r>
        <w:rPr/>
        <w:t>Free resource (publisher ruling, 2026-10-11, replacing the two layers ruled 2026-10-10). Every volume in the Readers Question Series is free. Each volume page offers the whole volume as a free PDF download, and the PDF carries the full entries (answer, context, labelled evidence, other readings with the modern writers behind them, what it means, related reading, bibliography), each running two to three interior pages. The volume page keeps its “Free Short Answers” section (“The Ten Questions, Answered in Brief”, collapsed rows, a short answer of two or three sentences each), which points the reader to the free PDF for the complete answer and never calls the PDF a purchase. The page states plainly where a related Digital Study reports the text as written and the entry argues a position, so the reader sees the difference. Free does not mean unprotected: the last page of every volume carries the end imprint “Copyright © 2026 Alexander S. Marien. All rights reserved. Published by Zay-Marie Press. Free for the personal use of the reader; no part may be reproduced or distributed without permission. Scripture quotations are from the King James Version (KJV).” (the Digital Studies wording “Licensed for the personal use of the purchaser” does not apply to this series), and copyright stays with the publisher. This ruling concerns the Readers Question Series only; the Digital Studies, the Commentary Collection, the bundles, the Library Edition, the Parable Studies and the Doctrinal Packets keep their prices and their purchase pages. A web page for each question and a search of the questions are recommended for a later ruling and are not part of this rule.</w:t>
      </w:r>
    </w:p>
    <w:p>
      <w:pPr/>
      <w:r>
        <w:rPr/>
        <w:t>Placement and format (publisher directive, 2026-10-10; price ruling 2026-10-11). The Questions page (`questions.html`) lists the volumes only, each with its cover, a one-paragraph description, the word “Free,” its page count, and links to the volume page, to its short answers and to the free PDF; it stays short however many volumes the series holds. Each volume page carries the “Free Short Answers” section before Key Scriptures, a “Download the Free PDF” button in the hero and in the closing panel, “Free” in place of a price, no “Checkout Coming Soon” line, and structured data with price 0, availability InStock and isAccessibleForFree true. The free PDF is the volume’s final approved PDF, stored in `assets/` under the volume page’s name with a `.pdf` extension, and its page count is the same number on the page, in the structured data and on the Questions page. The Questions page and the volume pages stand outside the Digital Studies catalog, bundles and Library Edition. Volume structure (publisher ruling, 2026-10-10, amended the same day): a volume holds ten questions and ten answers and runs 25–35 pages including the cover, kept crisp, digestible and repeatable so the same format can be issued volume after volume. The $4.99 volume price ruled on 2026-10-10 is withdrawn. A change to this ruling, including any return to a price, is made on the Questions page and the volume pages, in this paragraph, in CLAUDE.md and in the series Standard in the same pass.</w:t>
      </w:r>
    </w:p>
    <w:p>
      <w:pPr/>
      <w:r>
        <w:rPr/>
        <w:t>Question pages and search (publisher approval, 2026-10-11). Every question in the series has its own page, `reader-questions-vV-qQQ-&lt;slug&gt;.html` (V = volume, QQ = question number; the slug is the question’s key words), carrying the full entry as it prints in the volume: the answer in a boxed lead, the setting with the KJV table, what carries the weight (Stated / Shown by the context / Inferred), the other readings and the closing table, what it means for the reader, related reading, and the bibliography entries for the writers named in that answer; then links to the previous and next question, to the volume page and Questions page, and a free-PDF download for the whole volume. The page title is the question, the meta description is the volume page’s short answer, and the structured data is a FAQPage (question, answer, free to access, part of the volume). The text of a question page is the volume’s text and is never written separately: a change to a volume’s text is made in the volume source, the PDF and the question pages are regenerated from it in the same pass, and the page and PDF are checked against each other. Each row under “The Ten Questions, Answered in Brief” on the volume page links to its question page. The Questions page carries a search box (“Search the Questions”) that searches the title, short answer and answer of all questions from `assets/reader-questions-index.json` in the browser, lists up to 25 results with links, and works without a server; the index is regenerated whenever a question page is added or changed. Question pages are in the sitemap, carry no price and no checkout text, and are checked at 1280 and 390 px for overflow, working terms, links and script errors.</w:t>
      </w:r>
    </w:p>
    <w:p>
      <w:pPr/>
      <w:r>
        <w:rPr/>
        <w:t>Positions (publisher ruling, 2026-10-10, amended the same day). Claude drafts every entry by the Framework, the publisher’s recorded rulings and the passage’s own context, without asking for a ruling first. Each entry notes which positions were settled by the Framework or a ruling and which are Claude’s reading of the context, and each volume draft carries one short “needs your eye” list, limited to places where the Framework is silent or two readings both fit the context. The publisher corrects only what he disagrees with, Claude revises, and each ruling is recorded in the series Standard so the same question is not asked twice. A position not yet reviewed is marked “for review” in working notes only, never in anything the reader sees. Rulings: the thorn in the flesh (2 Corinthians 12:7) is opposition, a messenger of Satan raised against Paul’s ministry; the last trump and the trump of God (1 Corinthians 15:52; 1 Thessalonians 4:16) are the Body’s trumpet and are distinct from the seventh trumpet of Revelation 11; and the falling away of 2 Thessalonians 2:3 is the departure of the Body of Christ, the gathering that must precede the day of the Lord, and the restrainer of 2:6–7 is the Body’s presence and ministry in the world; it is not a collapse of faith among believers (all ruled 2026-10-10).</w:t>
      </w:r>
    </w:p>
    <w:p>
      <w:pPr/>
      <w:r>
        <w:rPr/>
        <w:t>Sources and text (publisher ruling, 2026-10-10; extended 2026-10-11). The passage-citation and modern-sources-only rules of Rule 29 apply to every entry. A writer is named only for a position that a source that has been read in full or checked supports; where no source is in hand the reading is stated as “some” or “many commentaries” with no name, and the bibliography lists only the works the volume cites, with edition data stated. KJV text is checked word for word against a source before it is published; text quoted from memory is never published. Internal working terms, including the mode label, never appear in the reader-facing page or volume (Rule 14); the marks “Stated,” “Shown by the context” and “Inferred” are reader-facing.</w:t>
      </w:r>
    </w:p>
    <w:p>
      <w:pPr/>
      <w:r>
        <w:rPr/>
        <w:t>Volume format (publisher ruling, 2026-10-10). A Reader Questions volume interior is set like the studies and commentaries: Roboto in four faces and no other font; body 10 pt black, 6 pt after, 1.08 line spacing, flush left; entry titles and major headings Roboto Bold 17 pt navy (#1B3350); sub-headings Roboto Bold 12 pt navy; the answer in a boxed callout (light-blue box, 1 pt navy border, bold uppercase navy title); KJV tables (Verse / KJV text / What to observe) and the readings-compared table with Slate Blue (#3B6E91) header rows and plain white body rows; every table and box the full text width (7615 twips) with 10 pt before and after; the study page size (483.846 × 725.754 pt) and margins; no heading stranded at a page foot; a centered footer reading “ZAY-MARIE PRESS READERS QUESTION SERIES, VOLUME V • N” (V = volume number within the series, N = page number). Covers follow the commentary cover size and numbering: 1600 × 2400 px artwork, 1024 × 1536 px website covers, “VOLUME V” at the upper right and “READERS QUESTION SERIES” at the bottom. The series name and the cover lines were confirmed by the publisher on 2026-10-10.</w:t>
      </w:r>
    </w:p>
    <w:p>
      <w:pPr/>
      <w:r>
        <w:rPr/>
        <w:t>Preview pages (publisher ruling, 2026-10-10, amended the same day). Every Readers Question Series volume page shows two pages under “A Look Inside”: the first two pages after the cover (PDF pages 2 and 3, interior pages 1 and 2) — the title page with “How to Read This Volume” and the contents, and the opening of the first entry — rendered from the final approved PDF as whole pages and never as crops, labelled by interior page number (footer number, PDF page minus one). Each page is rendered at 1041 × 1560 px, named reader-questions-NN-page-P.jpg, carries a card with its interior page number, title and a one-line “what to look for”, and passes an OCR pass for working terms. Claude shows both pages in the rendered preview and they are approved before any push. This is the standard for every volume in the series. First applied to Volume 1 (interior pages 1 and 2). It replaces the earlier same-day wordings (a full entry page and the sources page; interior pages 2 and 3).</w:t>
      </w:r>
    </w:p>
    <w:p>
      <w:pPr/>
      <w:r>
        <w:rPr/>
        <w:t>Volume title line (publisher ruling, 2026-10-10). Every Readers Question Series volume carries the same subtitle, “Questions on Difficult Bible Verses,” under the title “Reader Questions” on its cover, interior title page, volume page, structured data, share image and Questions-page block; the volume number alone (VOLUME V at the upper right of the cover; “Volume V:” on the interior title page) tells the volumes apart, and no count word (“Ten,” “Ten More”) appears in the subtitle. Volume 1’s earlier subtitle “Ten Questions on Difficult Verses” is retired and its cover, PDF title page, previews and page were updated the same day; its web address is unchanged. Digital Studies content rules are unaffected.</w:t>
      </w:r>
    </w:p>
    <w:p>
      <w:pPr/>
      <w:r>
        <w:rPr/>
        <w:t>Relation to other rules. Rule 31 is read with Rules 7, 11, 13–19 and 32 (all modes), with Rule 29 (the two other modes) and with Rule 10, which for the Digital Studies still reads “Rules 1–9, 11–28, 30 and 32”. The series is recorded in controlling-documents/Reader_Questions_Series_Standard_v1.17.md. First applied to Reader Questions Volume 1 (Ten Questions on Difficult Verses, 28 pages, page `reader-questions-01-ten-questions-on-difficult-verses.html`, now a free PDF).</w:t>
      </w:r>
    </w:p>
    <w:p w14:paraId="31BC0D84" w14:textId="77777777" w:rsidR="00B61C01" w:rsidRDefault="0049255F">
      <w:pPr>
        <w:pStyle w:val="Heading2"/>
      </w:pPr>
      <w:r>
        <w:rPr/>
        <w:t>Rule 32 — Romans 9–11 and the Romans 10:9–10 confession formula (2026-10-10)</w:t>
      </w:r>
    </w:p>
    <w:p>
      <w:pPr/>
      <w:r>
        <w:rPr/>
        <w:t>Setting (publisher ruling, 2026-10-10). Romans 9–11 is addressed to Israel and concerns Israel: her election, her righteousness and her covenantal salvation (Romans 9:3–4; 10:1; 11:1). The chapters are read in that setting and are not used as passages on how the Body is saved. Romans 11 stays under Rule 14 and its Romans 11 Strong Firewall.</w:t>
      </w:r>
    </w:p>
    <w:p>
      <w:pPr/>
      <w:r>
        <w:rPr/>
        <w:t>Romans 10:9–10 (publisher ruling, 2026-10-10). The verses are Israel’s covenantal salvation formula, drawn from Deuteronomy 30:14, which Romans 10:8 quotes. Confession is Israel’s covenantal expression of that faith; it is not part of the Body’s salvation and has no saving function for the Body. Romans 10 is not used as a Body salvation passage, and no study, commentary volume or reader-question entry makes confession a condition of the Body’s salvation.</w:t>
      </w:r>
    </w:p>
    <w:p>
      <w:pPr/>
      <w:r>
        <w:rPr/>
        <w:t>The Body’s ground (publisher ruling, 2026-10-10). The Body is saved by belief alone in the gospel Paul preached (1 Corinthians 15:1–4; Ephesians 2:8–9). Under Rule 19, repentance, baptism, covenant fidelity and confession as program requirements are never grounds of salvation for the Body and never transfer to it.</w:t>
      </w:r>
    </w:p>
    <w:p>
      <w:pPr/>
      <w:r>
        <w:rPr/>
        <w:t>The rest of the chapter (follows from the setting ruling). Romans 10:12–13 and the remainder of the chapter stay within the same setting, including the quotation of Joel 2:32, and are not used as Body salvation texts.</w:t>
      </w:r>
    </w:p>
    <w:p>
      <w:pPr/>
      <w:r>
        <w:rPr/>
        <w:t>Relation to other rules. Rule 32 binds all three modes. A Mode 3 entry or a Mode 2 chapter may argue the passage in full, within these limits; a Mode 1 study reports the passage as written in its setting. No working term appears in anything the reader sees (Rule 14). It is read with Rules 14, 15 and 19. First applied to Reader Questions Volume 1, entry 6. Studies that treat Romans 10:9–10 are checked against it when reopened or when the publisher directs.</w:t>
      </w:r>
    </w:p>
    <w:p>
      <w:pPr>
        <w:pStyle w:val="Heading1"/>
      </w:pPr>
      <w:r>
        <w:t>21. Locked Status</w:t>
      </w:r>
    </w:p>
    <w:p>
      <w:pPr/>
      <w:r>
        <w:rPr>
          <w:b/>
        </w:rPr>
        <w:t>STATUS: APPROVED AND LOCKED — DIGITAL STUDIES MASTER STANDARD v1.114</w:t>
      </w:r>
    </w:p>
    <w:p>
      <w:pPr/>
      <w:r>
        <w:t>This document is the controlling written reference for the development, correction, audit, approval, website preparation, repository publication, and final verification of current and future Zay-Marie Press Digital Studies.</w:t>
      </w:r>
    </w:p>
    <w:p>
      <w:pPr>
        <w:pStyle w:val="Heading1"/>
      </w:pPr>
      <w:r>
        <w:t>22. Version History</w:t>
      </w:r>
    </w:p>
    <w:p>
      <w:pPr>
        <w:pStyle w:val="ListBullet"/>
      </w:pPr>
      <w:r>
        <w:t>v1.120 — Records one Resources page refinement at the publisher’s approval (2026-10-11): at 600 px and narrower each of the six Featured Tools tiles, a sideways swipe row, is the full width of the row (was 84%, with a peek of the next tile), with a 24 px gap, no side padding, each tile clipping its own contents and the row always stopping on a tile, matching the Continue Your Study cards (v1.118, v1.119). Made in resources.html only. Content rules of every product are unaffected.</w:t>
      </w:r>
    </w:p>
    <w:p>
      <w:pPr>
        <w:pStyle w:val="ListBullet"/>
      </w:pPr>
      <w:r>
        <w:t>v1.119 — Records one Resources page fix at the publisher’s approval (2026-10-11): on phones (600 px and narrower) a sliver of the previous card, the end of its last word, showed over the “Get a Straight Answer” card in the Continue Your Study swipe row. The gap between cards is now 24 px (was 14 px), the row’s 2 px side padding is removed so each card lands flush at the row’s left edge, each card clips its own contents, the row always stops on a card (scroll-snap-stop: always) and the last card’s button label may wrap. Made in resources.html only. Content rules of every product are unaffected.</w:t>
      </w:r>
    </w:p>
    <w:p>
      <w:pPr>
        <w:pStyle w:val="ListBullet"/>
      </w:pPr>
      <w:r>
        <w:t>v1.118 — Records one Resources page refinement at the publisher’s approval (2026-10-11): at 600 px and narrower the six Continue Your Study cards, a sideways swipe row since v1.117, are each the full width of the row and snap one at a time, so no part of the next card shows beside the current one; the six featured tiles above keep their peek of the next tile. Made in resources.html only. Content rules of every product are unaffected.</w:t>
      </w:r>
    </w:p>
    <w:p>
      <w:pPr>
        <w:pStyle w:val="ListBullet"/>
      </w:pPr>
      <w:r>
        <w:t>v1.117 — Records four Resources page refinements at the publisher’s approval (2026-10-11): (1) the three fact chips are links (26 free resources to the Resource Library, 50 questions answered to the Questions page, 66 Bible book summaries to the Bible Book Summaries page); (2) the “New here?” line above the library search names Building Biblical Doctrine, the Acts Overlap visual guide and the Bible Book Summaries, with Reader Questions removed because it appears elsewhere on the page; (3) the featured “Resource Library” tile is replaced by a Bible Book Summaries tile linking to the summaries hub (the library itself stays reachable from the Jump to row and the fact chip); (4) at 600 px and narrower the six featured tiles and the six Continue Your Study cards are sideways swipe rows with a “Swipe for more” hint and keyboard-reachable scrolling, desktop unchanged. The Resources page share image was checked and stays the site default card. Made in resources.html only. Content rules of every product are unaffected.</w:t>
      </w:r>
    </w:p>
    <w:p>
      <w:pPr>
        <w:pStyle w:val="ListBullet"/>
      </w:pPr>
      <w:r>
        <w:t>v1.116 — Records six Resources page refinements at the publisher’s approval (2026-10-11): (1) a “Jump to” row under the facts line links to Reader Questions, Featured Tools, the Resource Library and Continue Your Study; (2) the facts line is set as three chips (26 free resources, 50 questions answered, 66 Bible book summaries) and its “Browse the library” link is removed; (3) the Reader Questions tile button reads “Search Questions”; (4) the library count (26) is filled in from the library list (window.RL_COUNT) and the question count (50) from assets/reader-questions-index.json, the typed numbers staying as the fallback, and the 66 book summaries remain set by hand; (5) a line under the library search box reads “Looking for a verse? Search the fifty questions →”; (6) the Paul’s Missionary Journeys map preview is hidden at 600 px and narrower (its text and button stay), shortening the page on phones. Made in resources.html and resource-library.js (script version tag bumped). Content rules of every product are unaffected.</w:t>
      </w:r>
    </w:p>
    <w:p>
      <w:pPr>
        <w:pStyle w:val="ListBullet"/>
      </w:pPr>
      <w:r>
        <w:t>v1.115 — Records one Resources page refinement at the publisher’s approval (2026-10-11): on screens 480 px wide or narrower, the floating Back to top button introduced in v1.114 is smaller (38 px instead of 48 px), sits closer to the corner and is slightly translucent (full opacity on hover or keyboard focus), because at 320 px the 48 px button covered the “Historical Drift” heading while scrolling. Wider screens are unchanged. Made in resources.html only; the button’s scroll behaviour (smooth with the explicit instant fallback) is unchanged. Content rules of every product are unaffected.</w:t>
      </w:r>
    </w:p>
    <w:p>
      <w:pPr>
        <w:pStyle w:val="ListBullet"/>
      </w:pPr>
      <w:r>
        <w:t>v1.114 — Records five Resources page refinements at the publisher’s approval (2026-10-11): (1) the Continue Your Study button for the Parable Studies carries no arrow, matching the other buttons; (2) the four verse chips on the Free Reader Questions tile link to their answers (2 Thessalonians 2:3, Romans 10:9, Matthew 24 and Luke 17:21); (3) the Reader Questions card in the Resource Library carries a “New” badge, set by a flag on the card and removed or moved to a newer resource by editing that flag; (4) a round floating Back to top button appears after the reader has scrolled about a screen and a half, hides near the bottom where the full button takes over, and uses the same smooth scroll with an explicit instant fallback; (5) the Resource Library tile states the count (26 free guides), set by hand like the facts line. Made in resources.html, resource-library.js and resource-library.css (version tags bumped); the content rules of every product are unaffected.</w:t>
      </w:r>
    </w:p>
    <w:p>
      <w:pPr>
        <w:pStyle w:val="ListBullet"/>
      </w:pPr>
      <w:r>
        <w:t>v1.113 — Completes the v1.112 correction at the publisher’s approval (2026-10-11): a live test showed the v1.112 fallback still did not scroll, because the site stylesheet sets smooth scrolling on the whole page, so a plain scroll to the top is also smooth; the fallback now asks for an instant jump (behavior “instant”) and was tested with every non-instant scroll blocked. Any Back to top button uses an explicit instant jump in its fallback. Made in resources.html only; the content rules of every product are unaffected.</w:t>
      </w:r>
    </w:p>
    <w:p>
      <w:pPr>
        <w:pStyle w:val="ListBullet"/>
      </w:pPr>
      <w:r>
        <w:t>v1.112 — Corrects the Resources page Back to top button at the publisher’s approval (2026-10-11): in a live test the button’s smooth scroll did not run in the built-in browser pane, so the button now checks, shortly after the smooth scroll starts, whether the page has moved and, if not, jumps to the top instantly (visitors with reduced motion already jump instantly). No visual change; made in resources.html for that page only. A Back to top button on other pages, if ever added, uses the same fallback. The content rules of every product are unaffected.</w:t>
      </w:r>
    </w:p>
    <w:p>
      <w:pPr>
        <w:pStyle w:val="ListBullet"/>
      </w:pPr>
      <w:r>
        <w:t>v1.111 — Records a Resources page change at the publisher’s approval (2026-10-11): a “↑ Back to top” button sits centered in its own strip at the bottom of the Resources page, above the footer; it scrolls smoothly to the top (instantly where the visitor has reduced motion turned on) and returns keyboard focus to the logo link. Made in resources.html for that page only; a site-wide Back to top button is not part of this change and would be a shared-code change previewed before any push. The content rules of every product are unaffected.</w:t>
      </w:r>
    </w:p>
    <w:p>
      <w:pPr>
        <w:pStyle w:val="ListBullet"/>
      </w:pPr>
      <w:r>
        <w:t>v1.110 — Records six further Resources page changes at the publisher’s approval (2026-10-11): (1) a facts line under the page introduction (26 free resources · 50 questions answered · 66 Bible book summaries) with a link to the Resource Library; (2) the Resource Library opens with its first nine cards and a “Show all 26 resources” button, while search, filters and sort show every match; (3) card labels read “Open page →” for cards that open another page and “Read here →” for cards that open inline; (4) the Reader Questions card carries the tags “5 volumes”, “50 questions” and “Free PDF”; (5) the Digital Studies page and the Bible Book Summaries page each carry one line pointing to Reader Questions; (6) the Resources page carries schema.org CollectionPage structured data listing the library resources, with no internal working terms. The facts-line numbers are set by hand and follow the library count, the questions and the summaries. Made in resources.html, resource-library.js and resource-library.css (version tags on the library script and stylesheet bumped), digital-studies.html and bible-book-summaries.html; the content rules of every product are unaffected.</w:t>
      </w:r>
    </w:p>
    <w:p>
      <w:pPr>
        <w:pStyle w:val="ListBullet"/>
      </w:pPr>
      <w:r>
        <w:t>v1.109 — Records five Resources page changes at the publisher’s approval (2026-10-11): (1) the page and social-share descriptions name what the page holds; (2) “Continue Your Study” carries a sixth option, Get a Straight Answer (Reader Questions), making six options in a 3 + 3 grid; (3) the featured tile for the Bible Book Summaries is replaced by a Free Reader Questions tile (the Bible Book Summaries remain in the Studies menu, the footer and the Resource Library); (4) the Resource Library opens with Reader Questions, Building Biblical Doctrine and Historical Drift; (5) a starting-points line sits above the library search (Reader Questions, Building Biblical Doctrine, the Acts Overlap visual guide). Made in resources.html and resource-library.js; the content rules of every product are unaffected. When a product is added or its volume count changes, the featured tiles and Continue Your Study follow in the same pass.</w:t>
      </w:r>
    </w:p>
    <w:p>
      <w:pPr>
        <w:pStyle w:val="ListBullet"/>
      </w:pPr>
      <w:r>
        <w:t>v1.108 — Records a Resources page change at the publisher’s approval (2026-10-11): the “Continue Your Study” section carries five options in this order: Explore a Biblical Subject (Digital Studies), Weigh a Whole-Bible Argument (the Commentary Collection, 35 volumes in seven series), Study One Book at a Time (the Doctrinal Packets), Build a Complete Method (the Biblical Hermeneutics Course) and Read Jesus’ Parables in Context (the Parable Studies). Made in resources.html; the content rules of every product are unaffected. When a product is added or its volume count changes, this section follows in the same pass.</w:t>
      </w:r>
    </w:p>
    <w:p>
      <w:pPr>
        <w:pStyle w:val="ListBullet"/>
      </w:pPr>
      <w:r>
        <w:t>v1.107 — Amends Rule 31 on the Readers Question Series, at the publisher’s approval (2026-10-11): the Resource Library on the Resources page carries one “Reader Questions” card under the Interpretation filter, linking to the Questions page (which holds the question search and the five free volumes); the fifty questions and the volumes are not listed individually in the library, and the library’s resource count rises by one (25 to 26). Made in resource-library.js; the Digital Studies, the Commentary Collection, the Parable Studies, the Doctrinal Packets and their content rules are unaffected.</w:t>
      </w:r>
    </w:p>
    <w:p>
      <w:pPr>
        <w:pStyle w:val="ListBullet"/>
      </w:pPr>
      <w:r>
        <w:t>v1.106 — Amends Rule 31 on the Readers Question Series, at the publisher’s approval (2026-10-11): the Reader Questions page leaves the Studies menu and sits in a new Resources menu in the site navigation (RESOURCES now opens a menu listing Resources and Reader Questions); the footer link moves from the Studies column to the Explore column beneath Resources; the Reader Questions pages and the fifty question pages highlight Resources in the navigation. Navigation change only, made in site.js; Digital Studies, the Commentary Collection, the Parable Studies, the Doctrinal Packets and their content rules are unaffected.</w:t>
      </w:r>
    </w:p>
    <w:p>
      <w:pPr>
        <w:pStyle w:val="ListBullet"/>
      </w:pPr>
      <w:r>
        <w:t>v1.105 — Amends Rule 31 on the Readers Question Series, at the publisher’s approval (2026-10-11): each of the fifty questions in Volumes 1–5 has its own web page carrying the full entry, each volume page’s short answers link to them, and the Questions page carries a client-side search of the questions (index `assets/reader-questions-index.json`); the pages are generated from the volume sources so page and PDF never differ. Digital Studies content rules are unaffected.</w:t>
      </w:r>
    </w:p>
    <w:p>
      <w:pPr>
        <w:pStyle w:val="ListBullet"/>
      </w:pPr>
      <w:r>
        <w:t>v1.104 — Amends Rule 31 on the Readers Question Series, at the publisher’s approval (2026-10-11): each free volume PDF ends with a short imprint (copyright, publisher, “Free for the personal use of the reader; no part may be reproduced or distributed without permission,” and the KJV line), added to the bibliography page of Volumes 1–5 (page counts unchanged: 28, 30, 27, 30, 25); the Digital Studies purchaser wording is not used in this series. The same approval rules in a web page for each question and a question search for the series, to be built and previewed before any push. Digital Studies content rules are unaffected.</w:t>
      </w:r>
    </w:p>
    <w:p>
      <w:pPr>
        <w:pStyle w:val="ListBullet"/>
      </w:pPr>
      <w:r>
        <w:t>v1.103 — Amends Rule 31 on the Readers Question Series, at the publisher’s direction (2026-10-11): the series becomes a free resource. The two layers (free short answers, paid full volumes) and the $4.99 price are replaced by one free layer — each volume page offers the whole volume as a free PDF, “Free” stands where the price was, “Checkout Coming Soon” is removed and the structured data reads price 0, InStock, free; the short answers stay on the volume page and point to the free PDF. Rule 31 also records that a named writer rests on a source in hand, and that a bibliography lists only works cited, after the attribution check of Volumes 1–5 (2026-10-11; unverifiable names removed, errors corrected; Volume 2 now 30 pages and Volume 3 27). The Digital Studies, the Commentary Collection and its bundles, the Library Edition, the Parable Studies and the Doctrinal Packets are unaffected; web pages for each question and a question search are recommended for a later ruling.</w:t>
      </w:r>
    </w:p>
    <w:p>
      <w:pPr>
        <w:pStyle w:val="ListBullet"/>
      </w:pPr>
      <w:r>
        <w:t>v1.102 — Amends Rule 31 on the Readers Question Series, at the publisher’s direction (2026-10-10): the free short answers are kept but move from the Questions page to each volume’s own page (“The Ten Questions, Answered in Brief”, collapsed rows, placed before Key Scriptures), and the Questions page lists the volumes only with a link to each volume’s free answers, so it does not lengthen as volumes are added; the earlier ten-answer block and search box on the Questions page are retired. Digital Studies content rules are unaffected.</w:t>
      </w:r>
    </w:p>
    <w:p>
      <w:pPr>
        <w:pStyle w:val="ListBullet"/>
      </w:pPr>
      <w:r>
        <w:t>v1.101 — Adds the Readers Question Series volume title line to Rule 31, at the publisher’s direction (2026-10-10): every volume’s subtitle is “Questions on Difficult Bible Verses,” distinguished only by its volume number (no “Ten” or “Ten More”); Volume 1 retitled and Volume 2 (Matthew 24, the Israel of God, the Great Commission, baptism, Hebrews 6, Revelation 12, Romans 11, the unpardonable sin, the sons of God, baptism for the dead) built to it. Digital Studies content rules are unaffected.</w:t>
      </w:r>
    </w:p>
    <w:p>
      <w:pPr>
        <w:pStyle w:val="ListBullet"/>
      </w:pPr>
      <w:r>
        <w:t>v1.100 — Corrects the preview-page rule in Rule 31 on the Readers Question Series, at the publisher’s direction (2026-10-10): the two preview pages are the first two pages after the cover (PDF pages 2 and 3, interior pages 1 and 2) — the title page with “How to Read This Volume” and contents, and the opening of the first entry — whole pages, never crops; replaces the v1.99 wording (interior pages 2 and 3). Applied to Volume 1. Digital Studies content rules are unaffected.</w:t>
      </w:r>
    </w:p>
    <w:p>
      <w:pPr>
        <w:pStyle w:val="ListBullet"/>
      </w:pPr>
      <w:r>
        <w:t>v1.99 — Amends the preview-page rule in Rule 31 on the Readers Question Series, at the publisher’s direction (2026-10-10): every volume page shows two whole pages under “A Look Inside”, interior pages 2 and 3 (the first entry as it prints), never crops; replaces the v1.98 wording (a full entry page and the sources page). Applied to Volume 1. Digital Studies content rules are unaffected.</w:t>
      </w:r>
    </w:p>
    <w:p>
      <w:pPr>
        <w:pStyle w:val="ListBullet"/>
      </w:pPr>
      <w:r>
        <w:t>v1.98 — Adds the preview-page rule to Rule 31 on the Readers Question Series, at the publisher’s direction (2026-10-10): every volume page shows two whole pages (never crops) under “A Look Inside” — one full entry page whose answer is not the volume’s headline question and does not give away another question’s thesis, and the sources page “Modern Writers Referred To” — rendered from the final PDF at 1041 × 1560 px and approved before any push. Applied to Volume 1 (interior pages 12 and 27). Rule 31’s cross-reference line now names the series Standard v1.9 and the $4.99 price. Digital Studies content rules are unaffected.</w:t>
      </w:r>
    </w:p>
    <w:p>
      <w:pPr>
        <w:pStyle w:val="ListBullet"/>
      </w:pPr>
      <w:r>
        <w:t>v1.97 — Amends Rule 31 on the Readers Question Series volume, at the publisher’s direction (2026-10-10): a volume holds ten questions and ten answers and runs 25–35 pages, crisp, digestible and repeatable, replacing “about ten to twelve entries … about thirty pages”; the volume price is $4.99 digital, replacing $7.99 (v1.92), now below a Digital Study ($5.99). The Questions page, the Volume 1 page and its structured data and share image, the Framework (§XX), the Standard (v1.8) and CLAUDE.md follow in the same pass. Digital Studies content rules are unaffected.</w:t>
      </w:r>
    </w:p>
    <w:p>
      <w:pPr>
        <w:pStyle w:val="ListBullet"/>
      </w:pPr>
      <w:r>
        <w:t>v1.96 — Renames the Reader Questions Series to the Readers Question Series, at the publisher’s direction (2026-10-10), in Rule 31 and the Framework (§XX): the Volume footer reads “ZAY-MARIE PRESS READERS QUESTION SERIES, VOLUME V • N” and the cover bottom line “READERS QUESTION SERIES” (“VOLUME V” stays at the upper right). The Volume 1 cover, interior footers, volume page and share image follow (28 pages). The Questions page (`questions.html`) keeps its title, Reader Questions. Earlier entries in this history keep the name in force when they were written. Series Standard now v1.7. Digital Studies content rules are unaffected.</w:t>
      </w:r>
    </w:p>
    <w:p>
      <w:pPr>
        <w:pStyle w:val="ListBullet"/>
      </w:pPr>
      <w:r>
        <w:t>v1.95 — Records, at the publisher’s confirmation (2026-10-10), that the Reader Questions Series name and cover lines (“VOLUME V” at the upper right; “READER QUESTIONS SERIES” at the bottom) are final, removing the pending note in Rule 31, and records Reader Questions Volume 1 (Ten Questions on Difficult Verses, 28 pages, $7.99; supplied cover approved; volume page and Questions page volume block prepared). Series Standard now v1.6. Digital Studies content rules are unaffected.</w:t>
      </w:r>
    </w:p>
    <w:p>
      <w:pPr>
        <w:pStyle w:val="ListBullet"/>
      </w:pPr>
      <w:r>
        <w:t>v1.94 — Adds Section 20, Rule 32 (Romans 9–11 and the Romans 10:9–10 confession formula), at the publisher’s ruling (2026-10-10), written into the Framework (a new Romans 9–11 entry among the Romans program assignments) and CLAUDE.md in the same pass: Romans 9–11 is addressed to Israel and read in that setting; Romans 10:9–10 is Israel’s covenantal salvation formula drawn from Deuteronomy 30:14, and confession is Israel’s covenantal expression and no part of the Body’s salvation; the Body is saved by belief alone in the gospel Paul preached (1 Corinthians 15:1–4; Ephesians 2:8–9); Romans 10 is not used as a Body salvation passage. Binds all three modes; Rule 10 now reads “Rules 1–9, 11–28, 30 and 32” for the Digital Studies. First applied to Reader Questions Volume 1, entry 6. Digital Studies content rules otherwise unaffected.</w:t>
      </w:r>
    </w:p>
    <w:p>
      <w:pPr>
        <w:pStyle w:val="ListBullet"/>
      </w:pPr>
      <w:r>
        <w:t>v1.93 — Amends Rule 31 on how Reader Questions positions are settled, at the publisher’s approval (2026-10-10): Claude drafts every entry by the Framework, recorded rulings and the passage’s context without a prior ruling on each question, notes which positions are settled and which are Claude’s reading, and gives one “needs your eye” list per volume; rulings are recorded in the series Standard. Replaces the v1.90 requirement that each position be ruled before drafting. Digital Studies content rules are unaffected.</w:t>
      </w:r>
    </w:p>
    <w:p>
      <w:pPr>
        <w:pStyle w:val="ListBullet"/>
      </w:pPr>
      <w:r>
        <w:t>v1.92 — Records the Reader Questions volume price in Rule 31: $7.99 a volume, at the publisher’s ruling (2026-10-10); the first Questions page (ten free answers) is previewed and approved. Digital Studies content rules are unaffected.</w:t>
      </w:r>
    </w:p>
    <w:p>
      <w:pPr>
        <w:pStyle w:val="ListBullet"/>
      </w:pPr>
      <w:r>
        <w:t>v1.91 — Records the Reader Questions volume format in Rule 31, at the publisher’s approval of the sample page (2026-10-10): Roboto, 10 pt black body, 17 pt navy headings, 12 pt navy sub-headings, boxed answer callout, Slate Blue KJV and comparison tables at full text width, the study page size and margins, and the centered footer “ZAY-MARIE PRESS READER QUESTIONS SERIES, VOLUME V • N”; covers follow the commentary size and numbering with the lines “VOLUME V” and “READER QUESTIONS SERIES” (series name and cover lines pending the publisher’s confirmation). Digital Studies content rules are unaffected.</w:t>
      </w:r>
    </w:p>
    <w:p>
      <w:pPr>
        <w:pStyle w:val="ListBullet"/>
      </w:pPr>
      <w:r>
        <w:t>v1.90 — Adds Rule 31 to Section 20, at the publisher’s direction (2026-10-10): a third interpretive mode, Mode 3 (contextual exegesis), governs a new Reader Questions Series of one-verse answers argued from the pericope and the preceding chapters; Digital Studies remain Mode 1 and the Commentary Series Mode 2. Rules 7, 11 and 13–19 bind Mode 3; Rules 8, 12, 20–28 and 30 do not. The full-entry method (two to three interior pages; about ten to twelve entries a volume), the separate Questions page outside the Digital Studies catalog, the two layers (free short answer plus context paragraph; paid volumes), the rule that each position is the publisher’s ruling, the sources and KJV-verification requirement, and the first ruling (2 Thessalonians 2:3, the falling away, is the departure of the Body, with the restrainer the Body’s presence; the thorn is opposition; the Body’s trumpet is distinct from Revelation 11’s seventh trumpet) are recorded. Rule 29 now names the third mode. The volume price is not yet ruled. Digital Studies content rules are unaffected; Rule 10 still reads “Rules 1–9, 11–28 and 30” for the Digital Studies.</w:t>
      </w:r>
    </w:p>
    <w:p>
      <w:pPr>
        <w:pStyle w:val="ListBullet"/>
      </w:pPr>
      <w:r>
        <w:t>v1.89 — Extends the Related-Links Box to every product page, at the publisher’s direction (2026-10-10): the 35 commentary volume pages, 35 Parable Study pages and 66 Doctrinal Packet pages carry a “Related Reading” box with up to four lists (Digital Studies, Commentary Series, Parable Studies, Doctrinal Packets), each capped at three and shown only where there is a real neighbour, replacing the former “Related Reading” list, the “Read first in the Digital Studies” list, the one-link “Go Deeper” note and the “How Packets Relate” box; the matching rules per page type and the companion-book sets are recorded in Section 18. Digital Studies content rules are unaffected.</w:t>
      </w:r>
    </w:p>
    <w:p>
      <w:pPr>
        <w:pStyle w:val="ListBullet"/>
      </w:pPr>
      <w:r>
        <w:t>v1.88 — Adds the Cross-Reference Notes standard to Section 18, at the publisher’s direction (2026-10-10): parable notes and Doctrinal Packet notes sit below the Related-Links box on the study page, outside its two lists and their cap of three, and matching lines are carried in the Study Connections Guide entries. Parable notes were added to Studies 58, 64, 79 and 80 (12 earlier studies already carried them) and packet notes to 30 studies where one book carries the majority of the study’s Scripture and the packet already points to the study; the packet sentence reads “interprets the book through its key passages in five pages”, not “surveys the whole book”. The Study Connections Guide entries for 44 studies gained the lines (guide PDF now 39 pages). Neither product enters the bundles or the Library Edition. Digital Studies content rules are unaffected.</w:t>
      </w:r>
    </w:p>
    <w:p>
      <w:pPr>
        <w:pStyle w:val="ListBullet"/>
      </w:pPr>
      <w:r>
        <w:t>v1.87 — Completes the roll-out of the Related-Links Box Standard, at the publisher’s direction (2026-10-10): the 22 studies left without a commentary link were looked at again, and Study 15 (Covenantal Volume 1) and Study 22 (Gospel Volumes 1 and 5) gained real neighbours, leaving 20 studies (Studies 16, 24, 26, 27, 28, 33, 37, 39, 45, 46, 47, 48, 52, 55, 59, 60, 70, 76, 77, 78) with the single list; and every Study Connections Guide entry for a study with a commentary link now lists the same volumes under “Commentary volumes on the same passages” (the guide PDF rebuilds from the page). Digital Studies content rules are unaffected.</w:t>
      </w:r>
    </w:p>
    <w:p>
      <w:pPr>
        <w:pStyle w:val="ListBullet"/>
      </w:pPr>
      <w:r>
        <w:t>v1.86 — Applies the Related-Links Box Standard (v1.85) to all earlier studies, at the publisher’s direction (2026-10-10): each study page was matched to the commentary volumes that argue the same passages or subject; 58 of the 80 earlier studies (and Study 81) carry a Commentary Series list of one to three links beside the Digital Studies list, and 22 (Studies 15, 16, 22, 24, 26, 27, 28, 33, 37, 39, 45, 46, 47, 48, 52, 55, 59, 60, 70, 76, 77, 78) have no real neighbour and keep the single list. A newly published commentary volume is checked against the study pages in the same pass as its website package. Digital Studies content rules are unaffected.</w:t>
      </w:r>
    </w:p>
    <w:p>
      <w:pPr>
        <w:pStyle w:val="ListBullet"/>
      </w:pPr>
      <w:r>
        <w:t>v1.85 — Adds the Related-Links Box Standard to Section 18, at the publisher’s direction (2026-10-10), after the Study 81 preview: the “How These Studies Relate” box is split into a Digital Studies list and a Commentary Series list, each with up to three links, followed by the connection-guide link; neither list is padded; commentary volumes stay outside the Digital Studies catalog, bundles and Library Edition. First applied to Study 81 (Acts Commentary Series Volumes 2 and 4). Digital Studies content rules are unaffected.</w:t>
      </w:r>
    </w:p>
    <w:p>
      <w:pPr>
        <w:pStyle w:val="ListBullet"/>
      </w:pPr>
      <w:r>
        <w:t>v1.84 — Adds Section 20, Rule 30 (Praying in the Spirit, praying with the spirit and speaking in tongues), at the publisher’s direction (2026-10-09), from the Study 81 overlap check: Romans 8:26–27, 1 Corinthians 12–14, Ephesians 6:18, Jude 20 and Acts 2:4, 10:46 and 19:6 are reported as written in their own settings; the phrases are neither merged nor separated beyond the text; nothing is stated on cessation, continuation or present practice and no doctrine of a prayer language is built; 1 Corinthians 13:8–10 and 14:22 are reported as written; Acts follows the existing division rulings and Rule 11; reader-facing anchor lines are fixed. Rule 30 binds Mode 1 only, so Rule 10 now reads “Rules 1–9, 11–28 and 30” and the Rule 29 binding sentence adds Rule 30. Written into CLAUDE.md in the same pass.</w:t>
      </w:r>
    </w:p>
    <w:p>
      <w:pPr>
        <w:pStyle w:val="ListBullet"/>
      </w:pPr>
      <w:r>
        <w:t>v1.83 — Adds the Questions Readers Ask finder requirement to Section 14, Stage 7 (Website Package), at the publisher’s direction (2026-10-09): the five-row “Which Study Should I Start With?” table on the Digital Studies page, its link to the finder PDF (Roboto 10 pt, study page size, one reader-worded question per study grouped by catalog category), and the rule that every new study adds its question and the PDF is rebuilt from build-tools/questions-readers-ask/ in the same pass. Written into CLAUDE.md in the same pass.</w:t>
      </w:r>
    </w:p>
    <w:p>
      <w:pPr>
        <w:pStyle w:val="ListBullet"/>
      </w:pPr>
      <w:r>
        <w:t>v1.82 — Records the Gospel Commentary Series bundle and the Complete Commentary Library price for all 35 volumes in the Section 20, Rule 29 pricing paragraph, at the publisher’s direction (2026-10-09): the Gospel series bundle is $54.99 (individually $74.95; save $19.96), and the Complete Commentary Library of all 35 volumes in seven series is $319.99 (individually $524.65; save $204.66, about 39%; $64.94 less than the seven series bundles), replacing $274.99 for 30 volumes. Gospel_Commentary_Series_Standard_v1.17.md records it. Written into CLAUDE.md in the same pass.</w:t>
      </w:r>
    </w:p>
    <w:p>
      <w:pPr>
        <w:pStyle w:val="ListBullet"/>
      </w:pPr>
      <w:r>
        <w:t>v1.81 — Adds the commentary preview-page rule to Section 20, Rule 29, at the publisher’s direction (2026-10-09), after a review of the preview pages on the twenty-five published commentary volume pages: every commentary volume page shows four pages rendered from the final PDF (the Table of Contents, the Preface, one page of the argument at work and one page of objections and replies), with the rationale, the selection and the checks recorded in the rule; it replaces the differing series wordings in the Covenantal and Prophetic Standards. Series Standards: Covenantal_Commentary_Series_Standard_v1.6.md, Prophetic_Commentary_Series_Standard_v1.11.md and Gospel_Commentary_Series_Standard_v1.5.md. Written into CLAUDE.md in the same pass.</w:t>
      </w:r>
    </w:p>
    <w:p>
      <w:pPr>
        <w:pStyle w:val="ListBullet"/>
      </w:pPr>
      <w:r>
        <w:t>v1.80 — Adds the Gospel Commentary Series to Section 20, Rule 29, at the publisher’s direction (2026-10-09): a seventh commentary series of five volumes built by narrower question on the four Gospels (provisional lineup: The Sermon on the Mount; The Lord’s Ministry to Israel; The Olivet Discourse; What the Twelve Understood; The Upper Room), footer “ZAY-MARIE PRESS GOSPEL COMMENTARY SERIES, VOLUME V • N”, cover bottom line “GOSPEL COMMENTARY SERIES”, $14.99 per volume, Rules 7, 11 and 13–19 binding, Rules 8, 12 and 20–28 not; the 35-volume Complete Commentary Library price is left to the publisher. Series Standard: controlling-documents/Gospel_Commentary_Series_Standard_v1.0.md. Written into CLAUDE.md in the same pass.</w:t>
      </w:r>
    </w:p>
    <w:p>
      <w:pPr>
        <w:pStyle w:val="ListBullet"/>
      </w:pPr>
      <w:r>
        <w:t>v1.79 — Adds to Section 14, Stage 7 (Website Package), at the publisher’s direction (2026-10-09): the study structured-data requirement (one schema.org Book JSON-LD block with an Offer at 5.99 USD and PreOrder availability while checkout is closed, on every individual study page) and the page-count consistency requirement (the site.js count, hero line, structured-data numberOfPages, What’s Included item and final buy panel show one number). Page counts on Studies 2, 3, 7, 8, 10, 42, 44–51 and 54 were brought into line. Written into CLAUDE.md in the same pass.</w:t>
      </w:r>
    </w:p>
    <w:p>
      <w:pPr>
        <w:pStyle w:val="ListBullet"/>
      </w:pPr>
      <w:r>
        <w:t>v1.78 — Adds the Acts Commentary Series to Section 20, Rule 29, at the publisher’s direction (2026-10-08): a sixth commentary series of five volumes walking the book of Acts in order (Acts 1–8; The Spirit in Acts; Paul Called and Sent; Cornelius and the Council; Acts 28), footer “ZAY-MARIE PRESS ACTS COMMENTARY SERIES, VOLUME V • N”, cover bottom line “ACTS COMMENTARY SERIES”, $14.99 per volume, Rules 7, 11 and 13–19 binding, Rules 8, 12 and 20–28 not; and records the Complete Commentary Library price for 30 volumes ($274.99, individually $449.70, save $174.71), effective on the Commentary Collection page when the series is added. Series Standard: controlling-documents/Acts_Commentary_Series_Standard_v1.0.md. Written into CLAUDE.md in the same pass. Digital Studies are unaffected; Rule 10 still reads “Rules 1–9 and 11–28”.</w:t>
      </w:r>
    </w:p>
    <w:p>
      <w:pPr>
        <w:pStyle w:val="ListBullet"/>
      </w:pPr>
      <w:r>
        <w:t>v1.77 — Records the current Commentary Collection prices in Section 20, Rule 29, at the publisher’s direction (2026-10-08): $14.99 per volume; $54.99 per five-volume series bundle (individually $74.95, save $19.96); $229.99 for the Complete Commentary Library of all 25 volumes (individually $374.75, save $144.76). The publisher has said the prices may change, and a change is then made on the Commentary Collection page, in Rule 29 and in CLAUDE.md in the same pass. Written into CLAUDE.md in the same pass. Digital Studies content rules and Digital Studies prices are unaffected; Rule 10 still reads “Rules 1–9 and 11–28”.</w:t>
      </w:r>
    </w:p>
    <w:p>
      <w:pPr>
        <w:pStyle w:val="ListBullet"/>
      </w:pPr>
      <w:r>
        <w:t>v1.76 — Adds the objections chapter standard to Section 20, Rule 29, at the publisher’s direction (2026-10-07): in every Covenantal Commentary Volume the objections-and-replies chapter cites two to four modern writers who fortify the thesis and sets them beside named modern writers who hold the opposite view, each objection answered from Scripture, every extract short, checked against a free full text and cited by work or section. Replaces “up to five voices, no minimum” for the Covenantal series only. Written into CLAUDE.md and the Covenantal_Commentary_Series_Standard (now v1.1) in the same pass. Digital Studies and the other two series are unaffected; Rule 10 still reads “Rules 1–9 and 11–28”.</w:t>
      </w:r>
    </w:p>
    <w:p>
      <w:pPr>
        <w:pStyle w:val="ListBullet"/>
      </w:pPr>
      <w:r>
        <w:t>v1.75 — Adds the Covenantal Commentary Series to Section 20, Rule 29, at the publisher’s direction (2026-10-07): four Commentary Volumes in Mode 2 (The Abrahamic Covenant, Abraham’s Seed, Inheritance, The Eternal Purpose of God), the footer “ZAY-MARIE PRESS COVENANTAL COMMENTARY SERIES, VOLUME V • N” and the cover bottom line “COVENANTAL COMMENTARY SERIES”, 50–70 pages, $14.99, shown on the Commentary Collection page; Rules 7, 11 and 13–19 bind (the standing Galatians 3 sentence and Rule 19 included) and Rules 8, 12 and 20–28 do not; Volume 1’s thesis and three rulings recorded. Written into CLAUDE.md and the new Covenantal_Commentary_Series_Standard_v1.0.md in the same pass; the Framework §XX wording is supplied to the publisher. Digital Studies are unaffected; Rule 10 still reads “Rules 1–9 and 11–28”.</w:t>
      </w:r>
    </w:p>
    <w:p>
      <w:pPr>
        <w:pStyle w:val="ListBullet"/>
      </w:pPr>
      <w:r>
        <w:t>v1.74 — Returns the series name to the Prophetic Commentary Series, at the publisher’s direction (2026-10-07), reversing the plural of v1.70: the series name in Section 20, Rule 29 and in the series standard (now Prophetic_Commentary_Series_Standard_v1.9.md); the Commentary Volume footer reads “ZAY-MARIE PRESS PROPHETIC COMMENTARY SERIES, VOLUME V • N” and the cover bottom line “PROPHETIC COMMENTARY SERIES”. The covers of Volumes 1–5 stand as made and need no re-lettering; the footers of the five interiors were restored and the volume pages and preview images on the website follow (page counts unchanged: 66, 59, 59, 55, 55). Written into CLAUDE.md, the Prophetic Commentary Series Standard (v1.9) and the Prophetic Identity Commentary Series Standard (now v1.8) in the same pass; earlier entries keep the wording in force when they were written. Digital Studies are unaffected; Rule 10 still reads “Rules 1–9 and 11–28”.</w:t>
      </w:r>
    </w:p>
    <w:p>
      <w:pPr>
        <w:pStyle w:val="ListBullet"/>
      </w:pPr>
      <w:r>
        <w:t>v1.73 — Adds the verse-level Scripture index rule to Section 20, Rule 29, at the publisher’s direction (2026-10-07): every Commentary Volume in every commentary series ends its appendices with “Where the Passages Are Read”, a verse-level index giving, for each passage cited in the Preface, the Thesis, the chapters and the Conclusion, the numbered section and the page where it is read and, where the volume prints the passage in full, the key-passages label; page numbers are generated from the rendered PDF and checked row by row. Applied to Identity Volumes 1–5 and Prophetic Commentaries Volumes 1–5 (their page counts become 56, 60, 56, 54, 52 and 66, 59, 59, 55, 55). Written into CLAUDE.md, the Prophetic Commentaries Series Standard (now v1.8) and the Prophetic Identity Commentary Series Standard (now v1.7) in the same pass. Digital Studies are unaffected; Rule 10 still reads “Rules 1–9 and 11–28”.</w:t>
      </w:r>
    </w:p>
    <w:p>
      <w:pPr>
        <w:pStyle w:val="ListBullet"/>
      </w:pPr>
      <w:r>
        <w:t>v1.72 — Adds the per-integration check and pre-launch audit rule to Section 14, Stage 9, at the publisher’s direction (2026-10-07): while the website is not yet public, each push receives the light check, shared-code defects are fixed at once, and the exhaustive per-page visual walk, polish and cross-page consistency checks are deferred to one full website audit before launch, with known items listed in Pre_Launch_Audit_Deferred_Items_v1.0.md. Written into CLAUDE.md in the same pass. Digital Studies content rules are unchanged; Rule 10 still reads “Rules 1–9 and 11–28”.</w:t>
      </w:r>
    </w:p>
    <w:p>
      <w:pPr>
        <w:pStyle w:val="ListBullet"/>
      </w:pPr>
      <w:r>
        <w:t>v1.71 — Retires the separate page for each commentary series, at the publisher’s direction (2026-10-07), in Section 20, Rule 29: the Commentary Collection page carries every series and each volume page links back to it; the two earlier series addresses redirect to it. Written into CLAUDE.md and the series standards (now Prophetic_Commentaries_Series_Standard_v1.7.md and Prophetic_Identity_Commentary_Series_Standard_v1.2.md) in the same pass. Earlier entries keep the wording in force when they were written. Rule 10 still reads “Rules 1–9 and 11–28” for the Digital Studies.</w:t>
      </w:r>
    </w:p>
    <w:p>
      <w:pPr>
        <w:pStyle w:val="ListBullet"/>
      </w:pPr>
      <w:r>
        <w:t>v1.70 — Renames the Prophetic Commentary Series to the Prophetic Commentaries Series, at the publisher’s direction (2026-10-07): the series name in Section 20, Rule 29 and in the series standard (now Prophetic_Commentaries_Series_Standard_v1.6.md); the Commentary Volume footer reads “ZAY-MARIE PRESS PROPHETIC COMMENTARIES SERIES, VOLUME V • N” and the cover bottom line “PROPHETIC COMMENTARIES SERIES”; adds the commentary cover size (1600 × 2400 px artwork, 1024 × 1536 px website covers, full-bleed interior cover page) and per-series volume numbering to Rule 29. Written into CLAUDE.md and the series standards in the same pass; earlier entries keep the name in force when they were written. Covers and interiors of Volumes 1–5 are re-lettered when reopened or when the publisher directs. Rule 10 still reads “Rules 1–9 and 11–28” for the Digital Studies.</w:t>
      </w:r>
    </w:p>
    <w:p>
      <w:pPr>
        <w:pStyle w:val="ListBullet"/>
      </w:pPr>
      <w:r>
        <w:t>v1.69 — Adds the modern-sources-only rule to the citation rule (Section 20, Rule 29), at the publisher’s direction (2026-10-06): Commentary Volumes cite and reference modern writers, scholars and theologians (twentieth century and later); old commentaries and authors from before 1900, for example Gill, Henry, Barnes, Seiss, Alford and Newton, are not cited, quoted or listed in the bibliography, even where they are public domain and free to read; the earlier clause that drew the older tradition from public-domain works is replaced; the preference clause for modern writers is dropped as redundant. Written into CLAUDE.md and the series standard (now Prophetic_Commentary_Series_Standard_v1.5.md) in the same pass; the Framework (§XX) wording is supplied to the publisher. First applied to the Prophetic Identity Commentary Series, Volume 1. Rule 10 still reads “Rules 1–9 and 11–28” for the Digital Studies.</w:t>
      </w:r>
    </w:p>
    <w:p>
      <w:pPr>
        <w:pStyle w:val="ListBullet"/>
      </w:pPr>
      <w:r>
        <w:t>v1.68 — Replaces the verification burden in the modern-scholarly-sources rule (Section 20, Rule 29), at the publisher’s direction (2026-10-06): volumes cite by passage and not by page; a modern writer is quoted only where Claude has read the words in a free full text (publisher-supplied text, the author’s free articles, or a public-domain book), otherwise the position is described in Claude’s own words without quotation marks; the older tradition is drawn from public-domain works; a volume carries up to five modern voices and no minimum; the bibliography gives author, title, publisher and year with a one-line flag only where needed; the publisher is never asked to buy or consult a book. Replaces the v1.65 and v1.67 verification requirements. Written into the Framework (§XX), the series standard (now Prophetic_Commentary_Series_Standard_v1.4.md) and CLAUDE.md in the same pass. First applied to Commentary Volume 3. Rule 10 still reads “Rules 1–9 and 11–28” for the Digital Studies.</w:t>
      </w:r>
    </w:p>
    <w:p>
      <w:pPr>
        <w:pStyle w:val="ListBullet"/>
      </w:pPr>
      <w:r>
        <w:t>v1.67 — Extends the modern-scholarly-sources standing rule in Section 20, Rule 29, at the publisher’s direction (2026-10-06): Claude may use well-known modern writers beyond the authorized pool (for example Hendriksen, Ladd, Michaels), on the same conditions, where it can verify their words directly; modern writers are preferred to older expositors, who are named in a sentence and not quoted at length; a commentary known only through a published review is described by its general method with the reviewer cited, and no view on a passage is attributed unless checked words state it; no copyrighted commentary text is reproduced beyond short, exact quotations. The series-standard pointer is now Prophetic_Commentary_Series_Standard_v1.3.md. Written into the Framework (§XX), the series standard and CLAUDE.md in the same pass. Rule 10 still reads “Rules 1–9 and 11–28” for the Digital Studies.</w:t>
      </w:r>
    </w:p>
    <w:p>
      <w:pPr>
        <w:pStyle w:val="ListBullet"/>
      </w:pPr>
      <w:r>
        <w:t>v1.66 — Renames the Theological Commentary Series to the Prophetic Commentary Series, at the publisher’s direction (2026-10-06): the series name in Section 20, Rule 29 and the pointer to the series standard (now Prophetic_Commentary_Series_Standard_v1.2.md) are updated; the Commentary Volume footer reads “ZAY-MARIE PRESS PROPHETIC COMMENTARY SERIES, VOLUME V • N”; the cover carries “VOLUME V” at the upper right and “PROPHETIC COMMENTARY SERIES” at the bottom; Volume 1’s painted cover is approved. Earlier Version History entries keep the name in force when they were written. Written into the Framework (§XX) and CLAUDE.md in the same pass. Rule 10 still reads “Rules 1–9 and 11–28” for the Digital Studies.</w:t>
      </w:r>
    </w:p>
    <w:p>
      <w:pPr>
        <w:pStyle w:val="ListBullet"/>
      </w:pPr>
      <w:r>
        <w:t>v1.65 — Adds the modern-scholarly-sources standing rule to Section 20, Rule 29 (Theological Commentary Series), at the publisher’s direction (2026-10-06): every Commentary Volume includes 3–5 modern scholarly voices that Claude fetches and verifies itself (the publisher supplies no quotations, page numbers or sources); only confirmed quotations are used, with full bibliographic details; an unverifiable quotation is paraphrased fairly and flagged for the publisher; the authorized pool of commentators is fixed (Revelation, Daniel, eschatology); the series-standard paragraph now cites Theological_Commentary_Series_Standard_v1.1.md and requires quotations from sources that have been fetched and checked. Volume 1 is priced $14.99 and the separate series page is approved. Written into the Framework (§XX) and CLAUDE.md in the same pass. Rule 10 still reads “Rules 1–9 and 11–28” for the Digital Studies.</w:t>
      </w:r>
    </w:p>
    <w:p>
      <w:pPr>
        <w:pStyle w:val="ListBullet"/>
      </w:pPr>
      <w:r>
        <w:t>v1.64 — Adds Section 20, Rule 29 (Interpretive modes and the Theological Commentary Series), at the publisher’s direction (2026-10-06): the Framework’s two interpretive modes (Mode 1, text-governed, for the Digital Studies; Mode 2, canonical identity synthesis, for the Theological Commentary Series); the rules that bind both modes (7, 11, 13–19) and Mode 1 only (8, 12, 20–28), with Rules 9 and 10 applying in both; the declaration kept in working notes and never shown to the reader; definitions of Prophetic Pattern Matching and the Non-Transfer Principle; the Identity Synthesis Protocol; the four required conclusions (Revelation 6:2, 19:11, 13 with Daniel 7, and 17); and the series standard (50–70 pages, KJV, Roboto, $14.99–$19.99, bibliography, accurate quotation of opponents). Rule 10 still reads “Rules 1–9 and 11–28” for the Digital Studies. Written into the Framework as §XX (Interpretive Modes) in the same pass, with no existing section renumbered. First applied to Commentary Volume 1.</w:t>
      </w:r>
    </w:p>
    <w:p>
      <w:pPr>
        <w:pStyle w:val="ListBullet"/>
      </w:pPr>
      <w:r>
        <w:t>v1.63 — Adds Section 20, Rule 28 (“Foundation of the world”, the Lamb and the foreordaining passages), at the publisher’s direction (2026-10-05), from the Study 80 overlap check: each of the ten uses of “the foundation of the world” is reported with its governing word (“before,” “from,” “since”) and is not treated as one statement or one referent; Revelation 13:8 is reported with both attachments named and left open, with Revelation 17:8 beside it; 1 Peter 1:18–21 is reported as written with no later revelation added to earlier believers; foreordaining and foreknowledge passages are reported as written with no doctrine on predestination of individuals or free will; Ephesians 1:4 is not equated with the audiences of 1 Peter or Revelation; the Lamb passages are each reported in their own setting and not joined into a chain; Hebrews 4:3 and 9:26 are reported as written and not identified with the Lamb’s slaying. Rule 10 now reads “Rules 1–9 and 11–28.” Written into the Framework §XIX in the same pass. First applied to Study 80.</w:t>
      </w:r>
    </w:p>
    <w:p>
      <w:pPr>
        <w:pStyle w:val="ListBullet"/>
      </w:pPr>
      <w:r>
        <w:t>v1.62 — Adds Section 20, Rule 27 (The words for the unseen world and the lake of fire), at the publisher’s direction (2026-10-05), from the Study 79 overlap check: Sheol, Hades, Gehenna and the lake of fire are reported where they stand with the original word named, and are not merged into one place or one sequence; Luke 16:19–31 is reported as the Lord’s account in its own setting with no teaching on the state of the dead drawn from it; the valley of Hinnom is reported before the Gospel uses of Gehenna, each with its own audience and none applied to the Body; Revelation 19:20, 20:10, 20:13–15 and 21:8 are reported as written with no sequence, duration or conscious-experience doctrine added; 2 Peter 2:4, Jude 6, Luke 8:31 and the bottomless pit passages are reported as written, with the angels and event unidentified and the deep and the lake not merged; no doctrine of the soul is built from the passages; 2 Corinthians 5:6–8, Philippians 1:21–24 and 1 Thessalonians 4:13–18 are reported as written with no statement of where the dead are now. Rule 10 now reads “Rules 1–9 and 11–27.” Written into the Framework §XIX in the same pass. First applied to Study 79.</w:t>
      </w:r>
    </w:p>
    <w:p>
      <w:pPr>
        <w:pStyle w:val="ListBullet"/>
      </w:pPr>
      <w:r>
        <w:t>v1.61 — Adds Section 20, Rule 26 (The Sabbath: sign, rest and day), at the publisher’s direction (2026-10-05), from the Study 78 overlap check: Genesis 2:2–3 is reported as written with no command to Adam stated and no creation command for all mankind; Exodus 20:8–11, 31:12–17 and Deuteronomy 5:12–15 are reported as written, with Exodus 31:13–17 fixing the audience as Israel at Sinai, and Mark 2:27 reported in its own setting with no universal doctrine drawn from it; Romans 14:5–6, Galatians 4:9–11 and Colossians 2:16–17 are reported as written, and the study may report that no passage addressed to the Body commands a day; Paul’s Sabbath-day reasoning in Acts 13, 16, 17 and 18 is audience-specific under Rule 18; Acts 20:7, 1 Corinthians 16:2 and Revelation 1:10 are reported as written with no equation of the Lord’s day with Sunday or the Day of the Lord and no first-day-as-Sabbath claim; Hebrews 4 is reported as written with no identification of the rest; Isaiah 66:23 and Ezekiel 44–46 are reported within Israel’s prophetic hope. Rule 10 now reads “Rules 1–9 and 11–26.” Written into the Framework §XIX in the same pass. First applied to Study 78.</w:t>
      </w:r>
    </w:p>
    <w:p>
      <w:pPr>
        <w:pStyle w:val="ListBullet"/>
      </w:pPr>
      <w:r>
        <w:t>v1.60 — Adds Section 20, Rule 25 (The believer and government: Romans 13:1–7), at the publisher’s direction (2026-10-05), from the Study 77 overlap check: the passage is reported as written, with no named government, no limit the text does not state and no doctrine on war, policing, capital punishment, civil disobedience, voting or political action; Romans 12:14–21, 13:1–7 and 13:8–10 are read in order, with the Law’s jurisdiction left to Study 59; Titus 3:1, 1 Timothy 2:1–2, 1 Peter 2:13–17, Matthew 22:15–22 and Acts 4:19 and 5:29 are each reported in their own setting and none is read as answering another, with Acts 4:19 and 5:29 reported as the apostles’ answer to the council at Jerusalem and not as a rule for the Body; the word “powers” in Romans 13:1 and Ephesians 6:12 (with 1:21) is reported side by side with no identification of the human and unseen powers; Revelation 13 and the final-ruler passages are left to Study 74; Romans 1:7 and “every soul” are reported as written, the passage is assigned to no program, and the reader-facing line “This reading rests on the passage’s own audience markers and setting.” applies. Rule 10 now reads “Rules 1–9 and 11–25.” Written into the Framework §XIX in the same pass. First applied to Study 77.</w:t>
      </w:r>
    </w:p>
    <w:p>
      <w:pPr>
        <w:pStyle w:val="ListBullet"/>
      </w:pPr>
      <w:r>
        <w:t>v1.59 — Adds Section 20, Rule 24 (The armour of God: Ephesians 6:10–20), at the publisher’s direction (2026-10-05), from the Study 76 overlap check: the passage is reported as written after the household code that precedes it; the four powers of 6:12 are reported as written with no ranking, no map of the unseen world, no identification with persons or places and no present jurisdiction of the Body, and “high places” may be noted only as the same Greek word as “heavenly places” in 1:3, 1:20, 2:6 and 3:10; no command to bind, rebuke, cast out or attack powers is added to what the passage says; “the gospel of peace” (6:15) and “the word of God” (6:17) are reported as written and not identified beyond the text; Isaiah 59:17 and 1 Thessalonians 5:8 are reported beside the passage as parallels in wording only, with no claim that Paul fulfils Isaiah or that Israel’s promise transfers; the reader-facing line “This reading rests on the passage’s own audience markers and setting.” applies. Rule 10 now reads “Rules 1–9 and 11–24.” Written into the Framework §XIX in the same pass. First applied to Study 76. The Rule 10 ranges in the v1.49 to v1.58 history entries are restored to the range each entry originally stated.</w:t>
      </w:r>
    </w:p>
    <w:p>
      <w:pPr>
        <w:pStyle w:val="ListBullet"/>
      </w:pPr>
      <w:r>
        <w:t>v1.58 — Adds Section 20, Rule 23 (Faith before the Cross: hard texts and the content of faith), at the publisher’s direction (2026-10-05), from the Study 75 overlap check: each passage on faith before the Cross is reported as written, with what each person or group is said to have believed; Galatians 3:8, John 8:56, Hebrews 11:26, Luke 24:25–27, 1 Peter 1:10–12 and Hebrews 4:2 are reported exactly as written with no inference about how much Abraham, Moses or the prophets understood and no statement of what content “the gospel” carried; Luke 18:34 (“they understood none of these things”) and John 20:9 stand as written beside the disciples’ confessions; Rule 19 is applied (faith is the means in every passage, the content is what had been said or revealed to that person or group, no later revelation is added to an earlier believer’s faith, and no shared saving ground is stated); Hebrews and 1 Peter take the reader-facing line “This reading rests on the letter’s own audience markers and setting.” Rule 10 now reads “Rules 1–9 and 11–23.” Written into the Framework §XIX in the same pass. First applied to Study 75.</w:t>
      </w:r>
    </w:p>
    <w:p>
      <w:pPr>
        <w:pStyle w:val="ListBullet"/>
      </w:pPr>
      <w:r>
        <w:t>v1.57 — Adds Section 20, Rule 22 (The man of sin, the final-ruler passages and the antichrist texts), at the publisher’s direction (2026-10-05), from the Study 74 overlap check: each passage is reported as written and compared side by side without stating that the passages name one person; the restrainer (2 Thessalonians 2:6–7) is reported exactly as written with no identification; the wording of 2 Thessalonians 2:2 and the “temple of God” (2:4) are left open, with the temple reported beside Daniel 9:27, Matthew 24:15 and Revelation 11:1–2 without location or timing; 1 John 2:18–22, 4:3 and 2 John 7 are reported as written with no program assignment beyond the letter’s own audience markers and setting; Acts 2:30–36 appears only as a cross-reference governed by Rule 21. Rule 10 now reads “Rules 1–9 and 11–22.” Written into the Framework §XIX in the same pass. First applied to Study 74.</w:t>
      </w:r>
    </w:p>
    <w:p>
      <w:pPr>
        <w:pStyle w:val="ListBullet"/>
      </w:pPr>
      <w:r>
        <w:t>v1.56 — Amends Section 6 (Interior Page Geometry and Text Layout Standard) at the publisher’s direction (2026-10-05): tables and callout boxes are 7615 twips wide with a 100 twip table indent and 100 twip cell margins, so no table or callout box extends past the text margins; replaces the v1.47 setting (7815 twips wide, −100 twip indent). Every study check measures table and callout edges against the text margins. First applied to Study 73. Written into CLAUDE.md in the same pass.</w:t>
      </w:r>
    </w:p>
    <w:p>
      <w:pPr>
        <w:pStyle w:val="ListBullet"/>
      </w:pPr>
      <w:r>
        <w:t>v1.55 — Adds Section 20, Rule 21 (The Davidic throne: Acts 2:30–36 and Revelation 3:21), at the publisher’s direction (2026-10-05), from the Study 73 overlap check: both passages are reported as written; the study does not equate the “right hand” of God with David’s throne and does not specify when that throne is taken; the Framework places the Davidic throne within Israel’s prophetic kingdom hope, not in the present heavenly session; Peter’s “to sit on his throne” (Acts 2:30) and “by the right hand of God exalted” (Acts 2:33) are reported as the promise and the exaltation without being identified as the same throne; Revelation 3:21 distinguishes Christ’s present position from the future rule promised to the overcomer. Rule 10 now reads “Rules 1–9 and 11–21”. Written into the Framework and CLAUDE.md in the same pass (rule-sync).</w:t>
      </w:r>
    </w:p>
    <w:p>
      <w:pPr>
        <w:pStyle w:val="ListBullet"/>
      </w:pPr>
      <w:r>
        <w:t>v1.54 — Adds Section 20, Rule 20 (The Lord’s Supper: New Covenant wording and “till he come”), at the publisher’s direction (2026-10-05), from the Study 72 overlap check: for the cup of 1 Corinthians 11:25 the standing sentence is “The cup carries the blood on which the New Covenant rests. The Body of Christ remembers that blood and proclaims the Lord’s death without becoming a party to Israel’s New Covenant”; 1 Corinthians 11:26 (“till he come”) is reported as written and the study does not specify which coming it names. The PAM’s existing assignment of 1 Corinthians 11:17–34 (Mystery Program, Body practice, not Passover, not a Kingdom ordinance) is unchanged. Rule 10 now reads “Rules 1–9 and 11–20”. Written into the Framework and CLAUDE.md in the same pass (rule-sync).</w:t>
      </w:r>
    </w:p>
    <w:p>
      <w:pPr>
        <w:pStyle w:val="ListBullet"/>
      </w:pPr>
      <w:r>
        <w:t>v1.53 — Amends Section 20, Rule 14, at the publisher’s direction (2026-10-05): adds the Diagram and image text rule. The reader-facing wording rule covers text inside diagrams, charts, captions and preview images; because that text is not searchable in the PDF, every study and Doctrinal Packet check now includes an OCR pass over each rendered page and website preview image. Recorded from the Doctrinal Packet sweep, in which the program-flow diagram captions of ten packets (1 John, 3 John, Jude, 1 Thessalonians, 2 Thessalonians, 1 Timothy, 2 Corinthians, Philemon, Philippians, Titus) carried internal references that a text search could not find; all ten were corrected in the PDF, DOCX and preview images. Written into CLAUDE.md in the same pass.</w:t>
      </w:r>
    </w:p>
    <w:p>
      <w:pPr>
        <w:pStyle w:val="ListBullet"/>
      </w:pPr>
      <w:r>
        <w:t>v1.52 — Amends Section 10, at the publisher’s direction (2026-10-04): the interior footer is a single centered line, “ZAY-MARIE PRESS DIGITAL STUDIES SERIES • N”, on the same baseline on every interior page, with no footer on the cover. This settles the Wave 5 footer-alignment item: every study rebuilt from the Study 52 geometry already carries this footer (measured on Studies 1, 40 and 41: centered at the page midpoint, same baseline on every page). CLAUDE.md carries the same rule (rule-sync).</w:t>
      </w:r>
    </w:p>
    <w:p>
      <w:pPr>
        <w:pStyle w:val="ListBullet"/>
      </w:pPr>
      <w:r>
        <w:t>v1.51 — Amends Section 10, at the publisher’s direction (2026-10-04): the standard copyright and personal-use notice in the end imprint is fixed in full, ending with the sentence “Scripture quotations are from the King James Version (KJV).” This settles the Wave 5 imprint ruling (Studies 1, 21, 23, 26, 29, 31, 32 and 33 and every study rebuilt with that sentence stand as built; a study whose imprint lacks it, including the Study 52 reference, takes it when reopened or retrofitted). CLAUDE.md carries the same rule (rule-sync).</w:t>
      </w:r>
    </w:p>
    <w:p>
      <w:pPr>
        <w:pStyle w:val="ListBullet"/>
      </w:pPr>
      <w:r>
        <w:t>v1.50 — Amends the interior sequence (item 4), the Study 52 Reference Standard structure line in Section 6, and adds the What You Will Learn bullet rule, at the publisher’s direction (2026-10-03): “What You Will Learn in This Study” is always bulleted — a list of bullet points, never running paragraphs, with at most one short lead-in line; the Study Goal callout and Study Outline keep their own forms. It governs every new study and every study rebuilt or retrofitted from this version forward (first applied to Study 43). CLAUDE.md carries the same rule (rule-sync).</w:t>
      </w:r>
    </w:p>
    <w:p>
      <w:pPr>
        <w:pStyle w:val="ListBullet"/>
      </w:pPr>
      <w:r>
        <w:t>v1.49 — Adds Section 20, Rule 19 (Ground of salvation and content of faith), at the publisher’s direction (2026-10-03), from the Study 2 rewrite: salvation is always by faith, never by merit; the content of faith is what God revealed within each program; Prophecy saints before the Cross were saved by believing the content revealed to them, not by Pauline revelation and not by the finished work of Christ, which had not yet been revealed; the Body is saved by believing Pauline revelation through faith alone; program-specific requirements are never grounds of salvation and never transfer to the Body; no shared saving ground is stated. The Framework’s “Shared Ground” and “Ground of Salvation” statements (Sections VII and VIII, both places) are withdrawn and replaced. Rule 10 now reads “Rules 1–9 and 11–19”. CLAUDE.md and the Framework carry the same rule (rule-sync).</w:t>
      </w:r>
    </w:p>
    <w:p>
      <w:pPr>
        <w:pStyle w:val="ListBullet"/>
      </w:pPr>
      <w:r>
        <w:t>v1.48 — Sets the interior body-text standard to 10 pt and enforces the table-spacing rule, at the publisher’s direction (2026-10-02): body paragraphs, lists, table body text and Table of Contents entries are Roboto Regular 10 pt (previously 9 pt) in every Digital Study; line spacing, paragraph spacing, headings (17 pt), callout titles (10 pt), the Study Outline sub-heading (12 pt) and the footer are unchanged. Every table, callout boxes included, carries 10 pt of controlled spacing before and after, and the first paragraph after a table has at least 10 pt space-before (the Section 13 rule, which earlier rebuilds had not applied; the defect was seen on Study 29, where body text touched the bottom of a KJV table). Sections 6 (Body-Content Standard, Study 52 Reference Standard and Interior Page Geometry) amended; every study check now reports body size and the paragraph after each table. Studies built at 9 pt (1, 3, 7, 8, 10, 23, 26, 29 and the other rebuilt studies) are reset to 10 pt when reopened or in the Wave 5 sweep; page counts, TOC pages and website page counts follow each rebuild. Study 29 is the first study rebuilt to it. CLAUDE.md carries the same rule (rule-sync).</w:t>
      </w:r>
    </w:p>
    <w:p>
      <w:pPr>
        <w:pStyle w:val="ListBullet"/>
      </w:pPr>
      <w:r>
        <w:t>v1.47 — Adds the Interior Page Geometry and Text Layout Standard to Section 6, at the publisher’s direction (2026-10-02): after Study 1 was rebuilt, every Digital Study is set on the later studies’ page (483.846 × 725.754 pt), margins, paragraph layout (no first-line indent, left-aligned), run-in-lead bold only, Study 52 list spacing, callout width, TOC tab and continuous flow, not only in Roboto at the same sizes. Earlier studies move to it when reopened or retrofitted and every study check measures it; the Heading 1 14 pt exemption for Studies 1–5 and 9 is withdrawn for any study reopened. Study 1 is the first earlier study rebuilt to it (17 pages). The Study 52 Reference Standard scope line now reaches earlier studies that are reopened. Written into CLAUDE.md in the same pass.</w:t>
      </w:r>
    </w:p>
    <w:p>
      <w:pPr>
        <w:pStyle w:val="ListBullet"/>
      </w:pPr>
      <w:r>
        <w:t>v1.46 — Adds Section 20, Rule 18 (Paul’s synagogue ministry and his commission), at the publisher’s direction (2026-10-02): a series-wide interpretive control. Paul’s commission, gospel and apostleship never change (apostle of the Gentiles; the gospel of the grace of God); his synagogue reasoning from Israel’s Scriptures is audience-specific proclamation of Israel’s Messiah and kingdom hope to Israel, whose prophetic program remained operative until its national suspension at Acts 28, not a second gospel, not a change of commission, not Prophecy apostleship and not Body membership for his hearers. Standing sentence and short form (“Paul’s synagogue preaching was audience-specific, not commission-specific.”) fixed; wording guard added (customs and vows, “hope of Israel” at Rome, local turns to the Gentiles are not national); applied wherever a study mentions Paul’s synagogue ministry and in full in the studies on Paul’s apostleship, the gospel of grace, the Acts overlap and Israel’s judicial blinding. Rule 10 now reads “Rules 1–9 and 11–18”. Written into the Framework §XIX in the same pass.</w:t>
      </w:r>
    </w:p>
    <w:p>
      <w:pPr>
        <w:pStyle w:val="ListBullet"/>
      </w:pPr>
      <w:r>
        <w:t>v1.45 — Amends Section 20, Rules 8, 12 and 14, at the publisher’s direction (2026-10-02): internal working terms (the Framework, the PAM, the Master Standard, rule numbers, anchoring sentences, “firewall” and similar) never appear in study text, website copy or Doctrinal Packets. The Rule 8 and Rule 12 anchor sentences and the Hebrews sentence are replaced by reader-facing forms, and the v1.44 anchor-wording classification wordings are withdrawn. Studies are converted when reopened or in the Wave 5 sweep; Study 55 is the first built to it. Written into the Framework Rules 8, 12 and 14 in the same pass.</w:t>
      </w:r>
    </w:p>
    <w:p>
      <w:pPr>
        <w:pStyle w:val="ListBullet"/>
      </w:pPr>
      <w:r>
        <w:t>v1.44 — Amends Section 20, Rule 12, at the publisher’s direction (2026-10-02): adds the anchor-wording classification (unassigned book: “The Framework does not assign [book] as a book…”; passage in a PAM-assigned book with no PAM entry: “The PAM makes no assignment for this passage…”). First applied to Study 51. Written into the Framework Rule 12 in the same pass.</w:t>
      </w:r>
    </w:p>
    <w:p>
      <w:pPr>
        <w:pStyle w:val="ListBullet"/>
      </w:pPr>
      <w:r>
        <w:t>v1.43 — Amends Section 20, Rule 14, at the publisher’s direction (2026-10-02): adds the reader-facing wording rule (internal control labels such as “firewall” never appear in study text, website copy or Doctrinal Packets; boundaries are stated in plain language). Studies 9, 13, 35 and 36 corrected. Written into the Framework Rule 14 in the same pass.</w:t>
      </w:r>
    </w:p>
    <w:p>
      <w:pPr>
        <w:pStyle w:val="ListBullet"/>
      </w:pPr>
      <w:r>
        <w:t>v1.42 — Amends Section 20, Rule 14, at the publisher’s direction (2026-10-02): adds the Romans 11 Strong Firewall as a standing rule for every Romans 11 treatment (triad, four-point governing list, “Salvation has come to the Gentiles” limit, identity-transfer warning, concurrency close; full firewall where treated at length, at least the list and triad in a passing citation; Study 13 v2 is the reference text). Written into the Framework Rule 14 in the same pass.</w:t>
      </w:r>
    </w:p>
    <w:p>
      <w:pPr>
        <w:pStyle w:val="ListBullet"/>
      </w:pPr>
      <w:r>
        <w:t>v1.41 — Amends Section 20, Rules 7 and 15, at the publisher’s direction (2026-10-02): adds the approved standing overlap sentence (“During the overlap, the circumcision apostleship ministers to Israel under the Prophecy Program, and Paul’s gospel forms the Body; the two operate concurrently and never merge, transfer or absorb one another.”) and the approved standing Galatians 3 sentence (“The seed is prophetic fulfillment in Christ; the Body receives blessing through Christ alone, not through participation in the Abrahamic covenant.”), replacing the withdrawn overlap sentence and all older Abrahamic-participation language. Locked Status and Version History are updated to v1.41; all other sections carry forward unchanged from v1.40.</w:t>
      </w:r>
    </w:p>
    <w:p>
      <w:pPr>
        <w:pStyle w:val="ListBullet"/>
      </w:pPr>
      <w:r>
        <w:t>v1.40 — Amends Section 20, Rules 7 and 17, at the publisher’s direction (2026-10-02): a Jewish member of the Body is not Israel (Body by identity, new creation by ontology, non-Israel by corporate identity, non-prophetic by program membership, non-covenantal by blessing structure, heavenly by destiny); ethnicity is a historical fact with no covenantal or programmatic force once a person is in the Body. The Rule 7 line “Israel remains Israel; the ethnic distinction is kept” now reads “Israel remains Israel, and the Body is not Israel.” The Framework identity sections carry the same ruling. Locked Status and Version History are updated to v1.40; all other sections carry forward unchanged from v1.39.</w:t>
      </w:r>
    </w:p>
    <w:p>
      <w:pPr>
        <w:pStyle w:val="ListBullet"/>
      </w:pPr>
      <w:r>
        <w:t>v1.39 — Adds Section 20, Rule 17 (The remnant and the Body during Acts 9–28), at the publisher’s direction (2026-10-02): the remnant never becomes the Body and remains outside the Body, the Mystery Program, the heavenly calling and Pauline identity; the Body is formed only by Paul’s gospel from Acts 9 and is gathered in on belief, with no transfer from Prophecy; the two peoples share no identity, membership, covenant, gospel, hope, Spirit ministry or destiny; the standing summary sentence and one-sentence relationship rule are fixed. Rule 10 refers to Rules 1–9 and 11–17. Locked Status and Version History are updated to v1.39; all other sections carry forward unchanged from v1.38.</w:t>
      </w:r>
    </w:p>
    <w:p>
      <w:pPr>
        <w:pStyle w:val="ListBullet"/>
      </w:pPr>
      <w:r>
        <w:t>v1.38 — Amends Section 20 (Rules 7–10) and adds Rules 13–16 (Program membership, Acts 1–8 and Acts 28; Olive Tree, prophetic-scene and Day of the Lord firewalls; Gospel, covenant and Spirit firewalls; Hermeneutical controls and concurrency), at the publisher’s direction (2026-10-02), carrying the Required Doctrinal Corrections to the Framework Control Document and PAM. Prophecy saints never become the Body; program membership is permanent; anyone saved under Paul’s gospel from Acts 9 onward is Body from the moment of salvation, and after Acts 28 only newly saved individuals enter; Acts 28 is the national suspension of Israel’s Prophecy Program, not a transfer. Withdrawn: the “gathered into the Body” clarifier, the “within the Body” reading of Galatians 6:16, “Gentiles participate spiritually in Abrahamic blessing,” “covenants still active” during Acts 9–28, and the unassigned status of Revelation (Revelation and Daniel’s 70th week belong wholly to Prophecy). Studies already published are corrected when reopened or when the publisher directs. Locked Status and Version History are updated to v1.38; all other sections carry forward unchanged from v1.37.</w:t>
      </w:r>
    </w:p>
    <w:p>
      <w:pPr>
        <w:pStyle w:val="ListBullet"/>
      </w:pPr>
      <w:r>
        <w:t>v1.37 — Adds the Study 52 Reference Standard to Section 6 and clarifies the Heading 2 spacing line, at the publisher’s direction (2026-10-02): Study 52 is the golden standard for format, structure and the balance of blue and black type for every Digital Study from Study 53 forward; numbered subsections are body-weight black lines; navy is confined to major-section headings, callout titles and “Study Outline.” Studies 1–51 are not retrofitted and remain as published. The Revision Note, Locked Status and Version History are updated. All other sections carry forward unchanged from v1.36.</w:t>
      </w:r>
    </w:p>
    <w:p>
      <w:pPr>
        <w:pStyle w:val="ListBullet"/>
      </w:pPr>
      <w:r>
        <w:t>v1.36 — Adds Section 20, Rule 12 (Unassigned books and passages: universal application), at the publisher’s direction (2026-10-01): an unassigned book or passage may be used for universal doctrinal truth without a program assignment, with the required anchoring sentence “The Framework does not assign this book; this reading rests on the passage’s own audience markers and setting.” Rule 12 extends Rule 8 to unassigned books and passages Rule 8 does not name; Rule 10 now refers to Rules 1–9, 11 and 12. The Revision Note, Locked Status and Version History are updated to v1.36. All other sections carry forward unchanged from v1.35.</w:t>
      </w:r>
    </w:p>
    <w:p>
      <w:pPr>
        <w:pStyle w:val="ListBullet"/>
      </w:pPr>
      <w:r>
        <w:t>v1.35 — Adds Section 20, Rule 11 (Paul’s fillings, signs and miraculous events, Acts 9–28), at the publisher’s direction (2026-10-01): overlap phenomena are reported from the text and not assigned to a single program; they occur in settings shaped by Israel’s Prophecy Program, but Paul’s participation does not convert them into Prophecy Program content or make them Mystery content; the Acts table column is titled “The Spirit’s Activity Recorded in Acts.” Rule 10 now refers to Rules 1–9 and 11. The Revision Note, Locked Status and Version History are updated to v1.35. All other sections carry forward unchanged from v1.34.</w:t>
      </w:r>
    </w:p>
    <w:p>
      <w:pPr>
        <w:pStyle w:val="ListBullet"/>
      </w:pPr>
      <w:r>
        <w:t>v1.34 — Amends Section 20, Rule 7 (identity wording), at the publisher’s direction (2026-10-01): adds the overlap-period rule for Peter’s believing company and the circumcision apostleship with the required identity clarification, and states that program membership and corporate identity are not the same question. The Revision Note, Locked Status and Version History are updated to v1.34. All other sections carry forward unchanged from v1.33.</w:t>
      </w:r>
    </w:p>
    <w:p>
      <w:pPr>
        <w:pStyle w:val="ListBullet"/>
      </w:pPr>
      <w:r>
        <w:t>v1.33 — Adds Section 20, the Doctrinal Drafting Standard (PAM Rules 7–10), at the publisher’s direction (2026-10-01): identity wording for “the Israel of God,” the remnant and the Body (believing Jews within the Body, Israel by identity, with the required identity-versus-program clarifier); the anchoring-sentence rule for books the PAM does not assign (Hebrews, Revelation, James, 1 Peter, 2 John; Philippians, 1 Thessalonians, 2 Timothy); standing wording for the Acts divisions, the “one taken, one left” passages, Ephesians 2:14, judgment and related rulings; and the review procedure. Locked Status and Version History are renumbered to Sections 21 and 22. The Revision Note, Locked Status and Version History are updated to v1.33. All other sections carry forward unchanged from v1.32.</w:t>
      </w:r>
    </w:p>
    <w:p>
      <w:pPr>
        <w:pStyle w:val="ListBullet"/>
      </w:pPr>
      <w:r>
        <w:t>v1.32 — Amends Section 19 (Cover Labels) and the Section 2 Cover Architecture bullet: the upper-right cover label is the exact name of the study’s catalog category (single-line pill names; two-line covers use the catalog heading names), and the shortened and legacy forms RIGHT DIVISION, PROPHECY, DOCTRINE, INTERPRETATION and BIBLICAL DOCTRINE are retired. All 71 covers carry a category name. The Revision Note, Locked Status and Version History are updated to v1.32. All other sections carry forward unchanged from v1.31.</w:t>
      </w:r>
    </w:p>
    <w:p>
      <w:pPr>
        <w:pStyle w:val="ListBullet"/>
      </w:pPr>
      <w:r>
        <w:t>v1.31 — Adds Section 19, the Catalog Category Standard (five categories, rules and clarifications, ordered decision procedure, precedents, the 71 final assignments, cover-label forms and the steps when a study is added or recategorized), at the publisher’s direction (2026-10-01). Locked Status and Version History are renumbered to Sections 20 and 21. Stage 1, Stage 7 and the Cover Production Method now point to Section 19. All other sections carry forward unchanged from v1.30.</w:t>
      </w:r>
    </w:p>
    <w:p>
      <w:pPr>
        <w:pStyle w:val="ListBullet"/>
      </w:pPr>
      <w:r>
        <w:t>v1.30 — Amends Section 6 (Body-Content Standard): Heading 1 uses 12 pt space-before and 8 pt space-after (previously 14 pt before). It governs studies built from Study 6 forward; Studies 1–5 and 9 keep 14 pt unless reopened. The Revision Note, Locked Status and Version History are updated to v1.30. All other sections carry forward unchanged from v1.29.</w:t>
      </w:r>
    </w:p>
    <w:p>
      <w:pPr>
        <w:pStyle w:val="ListBullet"/>
      </w:pPr>
      <w:r>
        <w:t>v1.29 — Amends Section 5 (Table of Contents Standard): TOC entries use the body-paragraph spacing (6 pt after, 1.08 line spacing) instead of compressed spacing, as shown in Study 5. It governs studies built from Study 6 forward; earlier studies keep their current TOC spacing unless reopened. The Revision Note, Locked Status and Version History are updated to v1.29. All other sections carry forward unchanged from v1.28.</w:t>
      </w:r>
    </w:p>
    <w:p>
      <w:pPr>
        <w:pStyle w:val="ListBullet"/>
      </w:pPr>
      <w:r>
        <w:t>v1.28 — Amends Section 4 (exactly five boxed callouts with a dark navy border; extra source callouts become body paragraphs with a bold run-in lead), Section 10 (the copyright notice appears only in the end imprint; no front copyright page) and Section 13 (table body rows plain white). The Revision Note, Locked Status and Version History are updated to v1.28. All other sections carry forward unchanged from v1.27.</w:t>
      </w:r>
    </w:p>
    <w:p>
      <w:pPr>
        <w:pStyle w:val="ListBullet"/>
      </w:pPr>
      <w:r>
        <w:t>v1.27 — Amends the Interior Typeface Standard in Section 8: the required interior typeface is now Roboto (Regular, Italic, Bold, Bold Italic; static files; lining numerals) in place of the EB Garamond specified in v1.26, still with no other or fallback typeface embedded and still covering all studies and Doctrinal Packets. Stages 3 and 4 of Section 14 are updated to match. The Revision Note, Locked Status and Version History are updated to v1.27. All other sections carry forward unchanged from v1.26.</w:t>
      </w:r>
    </w:p>
    <w:p>
      <w:pPr>
        <w:pStyle w:val="ListBullet"/>
      </w:pPr>
      <w:r>
        <w:t>v1.26 — Amends Section 8 (Color and Typography Control) to add the Interior Typeface Standard: all Digital Study interiors, including headings, are set in a single family, EB Garamond (Regular, Italic, Bold, Bold Italic; static files; old-style numerals), with no other or fallback typeface embedded. It applies to all studies and to Doctrinal Packets. Stages 3 and 4 of Section 14 are updated. The Revision Note, Locked Status and Version History are updated to v1.26. All other sections carry forward unchanged from v1.25.</w:t>
      </w:r>
    </w:p>
    <w:p>
      <w:pPr>
        <w:pStyle w:val="ListBullet"/>
      </w:pPr>
      <w:r>
        <w:t>v1.25 — Amends Section 5 (Table of Contents Standard). The Table of Contents must be numbered using Arabic numerals only; Roman numerals are never used. The Table of Contents is a single flat list on one left-aligned axis, with dot leaders to right-aligned page numbers: What You Will Learn in This Study, Introduction, the teaching sections numbered exactly as in the body, then Conclusion through Final Synthesis. Study Goal and Study Outline are not Table of Contents entries. The Revision Note, Locked Status, and Version History are updated to v1.25. All other sections carry forward unchanged from v1.24.</w:t>
      </w:r>
    </w:p>
    <w:p>
      <w:pPr>
        <w:pStyle w:val="ListBullet"/>
      </w:pPr>
      <w:r>
        <w:t>v1.24 — Adds Section 17, the Preview-Page Interpretive-Outcome Standard: preview pages (the interior What You Will Learn page and the website’s What You’ll Study section) must state interpretive outcomes and name the textual markers the reader will trace, not the study’s doctrinal conclusions. About This Study —</w:t>
      </w:r>
    </w:p>
    <w:p>
      <w:pPr/>
      <w:r>
        <w:t>Related-Study Distinction Standard, Locked Status, and Version History are renumbered to Sections 18, 19, and 20 to accommodate the new section. The matching cross-reference in Stage 7 of the Study Development and Approval Workflow (Section 14) is updated. Governs new studies going forward; existing studies are retrofitted when reopened or when the publisher directs it, per the Retrofit Scope note in Section 17. All other sections carry forward unchanged from v1.23.</w:t>
      </w:r>
    </w:p>
    <w:p>
      <w:pPr>
        <w:pStyle w:val="ListBullet"/>
      </w:pPr>
      <w:r>
        <w:t>v1.23 — Amends Section 13, the Tables Symbols and Contrast Standard. Table header rows now use the approved Slate Blue (#3B6E91) treatment in place of the prior dark navy treatment, with high-contrast light text retained. The border cross-reference in the same section (“matching or near the navy header treatment”) is updated to match the new header color. All other sections carry forward unchanged from v1.22.</w:t>
      </w:r>
    </w:p>
    <w:p>
      <w:pPr>
        <w:pStyle w:val="ListBullet"/>
      </w:pPr>
      <w:r>
        <w:t>v1.22 — Adds Section 17, the About This Study — Related-Study Distinction Standard. Every individual Study’s About This Study section must now include a required second paragraph, placed before the How These Studies Relate box, naming the neighboring studies a reader might confuse this study with and stating the single narrower question this study alone answers. The matching reference is added to Stage 7 of the Study Development and Approval Workflow (Section 14). Locked Status and Version History are renumbered to Sections 18 and 19 to accommodate the new section. Governs new studies going forward; existing studies are retrofitted when reopened or when the publisher directs it, per the Retrofit Scope note in Section 17. All other sections carry forward unchanged from v1.21.</w:t>
      </w:r>
    </w:p>
    <w:p>
      <w:pPr>
        <w:pStyle w:val="ListBullet"/>
      </w:pPr>
      <w:r>
        <w:t>v1.21 — Amended the Content-Depth and Page-Range Standard (Section 9): replaces the prior 13–17 substantive-interior-page range with a fixed 15-page standard. Every completed Digital Study must now contain 15 substantive interior pages, not a range. Matching references updated in the Page-Count Control note (Section 3) and in Stage 2 and Stage 4 of the Study Development and Approval Workflow (Section 14). The no-fluff, no-bloat governing objective carries forward unchanged.</w:t>
      </w:r>
    </w:p>
    <w:p>
      <w:pPr>
        <w:pStyle w:val="ListBullet"/>
      </w:pPr>
      <w:r>
        <w:t>v1.20 — Amended Section 6 (Body-Content Standard) to add an explicit Body-Content Paragraph and Heading Spacing Standard: body paragraphs locked to 6 pt space-after with 1.08 line spacing; Heading 1 locked to 14 pt space-before / 8 pt space-after; Heading 2 locked to 10 pt space-before / 5 pt space-after. This gives fixed numeric force to the Global Vertical-Spacing Rule in Section 10, which previously stated the principle (paragraph/table properties only, no blank-paragraph spacers) without fixed point values. All other sections carry forward unchanged from v1.19.</w:t>
      </w:r>
    </w:p>
    <w:p>
      <w:pPr>
        <w:pStyle w:val="ListBullet"/>
      </w:pPr>
      <w:r>
        <w:t>v1.19 — Amended Section 2 (Forward Cover System) to add a Cover Art Brief step, and the matching Stage 5 reference in Section 14. Before the illustrator produces artwork, a detailed written cover art brief — image concept, composition, palette, lighting, and symbolic content — is prepared and given to the publisher to provide to the illustrator; the publisher returns the finished artwork for typography assembly and approval. All other sections carry forward unchanged from v1.18.</w:t>
      </w:r>
    </w:p>
    <w:p>
      <w:pPr>
        <w:pStyle w:val="ListBullet"/>
      </w:pPr>
      <w:r>
        <w:t>v1.18 — Amended Section 16 (Individual Study Preview Selection Standard) and the matching Stage 7 reference in Section 14. The preview set is now fixed at exactly three pages — the Table of Contents, the What You Will Learn page, and one further page of real substance that does not give away the study’s thesis — superseding the prior four-page target and the earlier exclusion of the Table of Contents. All other sections carry forward unchanged from v1.17.</w:t>
      </w:r>
    </w:p>
    <w:p>
      <w:pPr>
        <w:pStyle w:val="ListBullet"/>
      </w:pPr>
      <w:r>
        <w:t>v1.17 — Prior locked edition. Preview standard targeted four non-consecutive pages (flexible two to four), with the Table of Contents excluded from the eligible set.</w:t>
      </w:r>
    </w:p>
    <w:sectPr w:rsidR="00B61C01" w:rsidSect="00034616">
      <w:headerReference w:type="default" r:id="rId8"/>
      <w:footerReference w:type="default" r:id="rId9"/>
      <w:headerReference w:type="first" r:id="rId10"/>
      <w:footerReference w:type="first" r:id="rId11"/>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36300120">
    <w:abstractNumId w:val="8"/>
  </w:num>
  <w:num w:numId="2" w16cid:durableId="1280918796">
    <w:abstractNumId w:val="6"/>
  </w:num>
  <w:num w:numId="3" w16cid:durableId="1488013011">
    <w:abstractNumId w:val="5"/>
  </w:num>
  <w:num w:numId="4" w16cid:durableId="836464260">
    <w:abstractNumId w:val="4"/>
  </w:num>
  <w:num w:numId="5" w16cid:durableId="1731342337">
    <w:abstractNumId w:val="7"/>
  </w:num>
  <w:num w:numId="6" w16cid:durableId="1302883477">
    <w:abstractNumId w:val="3"/>
  </w:num>
  <w:num w:numId="7" w16cid:durableId="1742370407">
    <w:abstractNumId w:val="2"/>
  </w:num>
  <w:num w:numId="8" w16cid:durableId="2082605528">
    <w:abstractNumId w:val="1"/>
  </w:num>
  <w:num w:numId="9" w16cid:durableId="5058250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20B8B"/>
    <w:rsid w:val="0015074B"/>
    <w:rsid w:val="00287222"/>
    <w:rsid w:val="0029639D"/>
    <w:rsid w:val="00326F90"/>
    <w:rsid w:val="00592F34"/>
    <w:rsid w:val="007C6ACA"/>
    <w:rsid w:val="007F1D76"/>
    <w:rsid w:val="007F3A9F"/>
    <w:rsid w:val="00862D04"/>
    <w:rsid w:val="00900ECB"/>
    <w:rsid w:val="009D4E88"/>
    <w:rsid w:val="00AA1D8D"/>
    <w:rsid w:val="00B47730"/>
    <w:rsid w:val="00B61C01"/>
    <w:rsid w:val="00CB0664"/>
    <w:rsid w:val="00CF123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107552"/>
  <w14:defaultImageDpi w14:val="300"/>
  <w15:docId w15:val="{4F14B732-D8A9-4849-8704-A77608E5C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Georgia" w:hAnsi="Georgia"/>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header" Target="header2.xml"/><Relationship Id="rId1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3382</Words>
  <Characters>19279</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22616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Zay-Marie Press Digital Studies Master Standard</dc:title>
  <dc:subject>Digital Studies content, design, production, approval, and publication workflow</dc:subject>
  <dc:creator>python-docx</dc:creator>
  <cp:keywords/>
  <dc:description>generated by python-docx</dc:description>
  <cp:lastModifiedBy>Hakeem Hakeem</cp:lastModifiedBy>
  <cp:revision>2</cp:revision>
  <dcterms:created xsi:type="dcterms:W3CDTF">2026-09-22T18:33:00Z</dcterms:created>
  <dcterms:modified xsi:type="dcterms:W3CDTF">2026-09-22T18:33:00Z</dcterms:modified>
  <cp:category/>
</cp:coreProperties>
</file>