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1.35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(v1.35): Adds Section 20, Rule 11 (Paul’s fillings, signs and miraculous events in Acts 9–28), at the publisher’s direction (2026-10-01): these are overlap phenomena, reported from the text and not assigned to a single program; they occur in settings shaped by Israel’s Prophecy Program, but Paul’s participation does not convert them into Prophecy Program content or make them Mystery content. Standing wording and the Acts table-column title are fixed in the Rule. Locked Status and Version History are updated. All other sections carry forward unchanged from v1.34.</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(numbered subsections) — 10 pt space-before, 5 pt space-after.</w:t>
      </w:r>
    </w:p>
    <w:p>
      <w:pPr/>
      <w:r>
        <w:t>These figures supersede any prior unstated default and are binding for Study 50 forward, and for any earlier study whose interior is reopened for revision.</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7–11 from the Framework Control Document (Section 4, continued, 2026-10-01).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the Body—Israelites by identity.” Not national Israel; not Gentiles. Do not write “believing Israel” alone for believers in the present administration.</w:t>
      </w:r>
    </w:p>
    <w:p>
      <w:pPr/>
      <w:r>
        <w:rPr/>
        <w:t>Never describe the remnant as standing beside, outside or apart from the Body during the present (Mystery) administration, and never imply that believing Israel exists outside the Body in the present age. Whenever a study distinguishes the remnant from the Body, it adds: “This speaks of identity, not program membership; the remnant is ethnic-covenantal, and believing Jews are gathered into the Body during the Mystery administration.”</w:t>
      </w:r>
    </w:p>
    <w:p>
      <w:pPr/>
      <w:r>
        <w:rPr/>
        <w:t>Israel remains Israel; the ethnic distinction is kept. The Body is never called Israel or “spiritual Israel,” and Gentiles are never called Israel. Gentiles participate spiritually in Abrahamic blessing (Galatians 3: the seed is prophetic fulfillment); this is never described as identity transfer.</w:t>
      </w:r>
    </w:p>
    <w:p>
      <w:pPr/>
      <w:r>
        <w:rPr/>
        <w:t>The new covenant is with the house of Israel and the house of Judah; the Body benefits from Christ’s blood and is not a party (2 Corinthians 3:6). Romans 11:25 is Prophecy Program content occurring during the Mystery administration.</w:t>
      </w:r>
    </w:p>
    <w:p>
      <w:pPr/>
      <w:r>
        <w:rPr/>
        <w:t>The overlap period (Acts 9–28): Peter’s believing company, and the circumcision apostleship generally, may be described as continuing under the Prophecy Program, provided the identity clarification is added in the same place: “During the overlap, the circumcision apostleship ministers to Israel under the Prophecy Program; believing Jews are gathered into the Body through Paul’s ministry, and this speaks of identity, not program membership.” Program membership and corporate identity are not the same question: believing Jews under Peter’s prophetic commission remain Israelites by identity, and during the overlap they are gathered into the Body through Paul’s Mystery ministry; their prophetic-line ministry context does not place them outside the Body. No believing Israelite is placed outside the Body after Acts 9, and no prophetic-program description may imply a second saved company beside the Body. The clarification is added wherever a study sets “believing Israelites,” “the remnant” or “prophetic believers” beside “Body assemblies” (publisher ruling, 2026-10-01, from the Study 36 check).</w:t>
      </w:r>
    </w:p>
    <w:p w14:paraId="31BC0D84" w14:textId="77777777" w:rsidR="00B61C01" w:rsidRDefault="0049255F">
      <w:pPr>
        <w:pStyle w:val="Heading2"/>
      </w:pPr>
      <w:r>
        <w:rPr/>
        <w:t>Rule 8 — Books and passages the PAM does not assign</w:t>
      </w:r>
    </w:p>
    <w:p>
      <w:pPr/>
      <w:r>
        <w:rPr/>
        <w:t>The PAM assigns no program to Hebrews, Revelation, James, 1 Peter or 2 John as books, and does not list Philippians, 1 Thessalonians or 2 Timothy individually. A study reads each from its own audience markers and states the placement as an interpretive reading, not a PAM assignment (PAM Rule 1). One anchoring sentence is used where the book is first treated: “The Framework does not assign [book] as a book; this reading rests on the letter’s own audience markers and setting.”</w:t>
      </w:r>
    </w:p>
    <w:p>
      <w:pPr/>
      <w:r>
        <w:rPr/>
        <w:t>Hebrews is read within Israel’s Prophecy line for covenant context, with the verbatim sentence: “The Framework does not assign Hebrews as a book; this reading rests on the letter’s own audience markers and on the Framework’s ruling that the New Covenant it quotes (Jeremiah 31:31–34)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pPr>
        <w:pStyle w:val="Heading1"/>
      </w:pPr>
      <w:r>
        <w:t>21. Locked Status</w:t>
      </w:r>
    </w:p>
    <w:p>
      <w:pPr/>
      <w:r>
        <w:rPr>
          <w:b/>
        </w:rPr>
        <w:t>STATUS: APPROVED AND LOCKED — DIGITAL STUDIES MASTER STANDARD v1.35</w:t>
      </w:r>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