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1.175 — Approved and Locked</w:t>
      </w:r>
    </w:p>
    <w:p w14:paraId="1BE1BA43" w14:textId="77777777" w:rsidR="009D4E88" w:rsidRDefault="00CF123C">
      <w:pPr>
        <w:jc w:val="center"/>
      </w:pPr>
      <w:r>
        <w:t>Revision note (v1.175): Master Standard v1.175 (publisher directive, 2026-10-26): adds to §20 Rule 29 the stand-alone Commentary Volume The End of the Lost, with its thesis, three rulings, cumulative-method rule and pricing (Library of 49 volumes $464.99, effective when published); no new rule number; Rule 10 unchanged; Digital Studies are unaffected.</w:t>
      </w:r>
    </w:p>
    <w:p w14:paraId="1BE1BA43" w14:textId="77777777" w:rsidR="009D4E88" w:rsidRDefault="00CF123C">
      <w:pPr>
        <w:jc w:val="center"/>
      </w:pPr>
      <w:r>
        <w:t>Revision note (v1.174):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14:paraId="1BE1BA43" w14:textId="77777777" w:rsidR="009D4E88" w:rsidRDefault="00CF123C">
      <w:pPr>
        <w:jc w:val="center"/>
      </w:pPr>
      <w:r>
        <w:t>Revision note (v1.173): Master Standard v1.173 (publisher directive, 2026-10-25): amends §20 Rule 37 with clause (10), the evidence-first synthesis rule for every Digital Study Conclusion (answer the title directly in text-controlled language; move from explicit observations to a synthesis identified as synthesis; include only what answers the governing question; state negative findings only as textual boundaries; handle disputed passages proportionately; end with a controlled “Taken together, these passages…” synthesis), with the required pattern, nine tests and governing principle. It applies automatically whenever an existing Digital Study is rebuilt or its Conclusion is revised. Rule 10 is unchanged. Recorded in CLAUDE.md in the same pass.</w:t>
      </w:r>
    </w:p>
    <w:p w14:paraId="1BE1BA43" w14:textId="77777777" w:rsidR="009D4E88" w:rsidRDefault="00CF123C">
      <w:pPr>
        <w:jc w:val="center"/>
      </w:pPr>
      <w:r>
        <w:t>Revision note (v1.172): Master Standard v1.172 (publisher directive, 2026-10-25): adds §20 Rule 37 (Conclusion Section Standard) and amends §§3, 6, 7 and 10 and Rule 34 to match. Beginning with Study 88 and for every Digital Study built or rebuilt from now on, the Conclusion is the single concluding statement of the study’s findings: one concise integrated prose paragraph (about five to eight sentences) that answers “What did the examination of this passage plainly reveal?”, begins with the passage’s central finding, states the audience only as the text establishes it, distinguishes quotation from instruction, states textual boundaries observationally, ends with the passage’s positive meaning, and is not an apologetic argument. The Study Summary and the Final Synthesis are removed from the required sequence (Section 3 now runs to 14 items). First applied to Study 88. Written into CLAUDE.md (v1.172) in the same pass. Digital Studies content rules are otherwise unaffected.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Key Distinctions to Retain</w:t>
      </w:r>
    </w:p>
    <w:p>
      <w:pPr>
        <w:spacing w:after="60"/>
        <w:ind w:left="259"/>
      </w:pPr>
      <w:r>
        <w:t>11. Scripture-Tracing Exercise</w:t>
      </w:r>
    </w:p>
    <w:p>
      <w:pPr>
        <w:spacing w:after="60"/>
        <w:ind w:left="259"/>
      </w:pPr>
      <w:r>
        <w:t>12. Review and Discussion Questions</w:t>
      </w:r>
    </w:p>
    <w:p>
      <w:pPr>
        <w:spacing w:after="60"/>
        <w:ind w:left="259"/>
      </w:pPr>
      <w:r>
        <w:t>13. Teaching Outline</w:t>
      </w:r>
    </w:p>
    <w:p>
      <w:pPr>
        <w:spacing w:after="60"/>
        <w:ind w:left="259"/>
      </w:pPr>
      <w:r>
        <w:t>14. Guided Further Study</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Key Distinctions to Retain; Scripture-Tracing Exercise; Review and Discussion Questions; Teaching Outline (Roman numerals with A–C items); Guided Further Study (groups of passages, each with Observe, Compare and Conclude); and the single end imprint. The imprint never stands alone on a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 The single concluding statement of the study’s findings. It answers one question — what did the examination of this passage plainly reveal? — in one concise prose paragraph of about five to eight sentences (Section 20, Rule 37). There is no separate Study Summary or Final Synthesis.</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the last section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Key Distinctions to Retain, Teaching Outline, and (in studies built before v1.172) a Study Summary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34 and 37.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The End of the Lost (publisher directive, 2026-10-26). A stand-alone Commentary Volume, outside every series, is created in Mode 2 under Framework §XX: The End of the Lost — Destruction, Eternal Punishment, and the Case Against Annihilationism (title and subtitle ruled by the publisher; no volume number; it is not part of the Acts Overlap Theology Series or any commentary series). Governing subject: the biblical doctrine of the final punishment of the lost and the case against annihilationism. Thesis (publisher-approved): destruction language in Scripture does not by itself establish annihilation, and its meaning is fixed by context; the words for death, destruction, punishment, torment, exclusion, the second death and final judgment are kept apart; taken cumulatively, each in its own setting, the judgment passages establish irreversible, enduring punishment and, where the text says so, continuing conscious experience, and do not require cessation of existence; “ruin” is used only where a passage’s context supports it, and no universal rule is made that every destruction term means “ruin rather than cessation.” Rulings: (1) Revelation 14:11 is read as continuing conscious experience, argued from the whole statement (“no rest day nor night”) and not from the rising smoke alone, within Revelation’s prophetic setting, its program-specific features not transferred to the Body; (2) 2 Thessalonians 1:9 “from the presence of the Lord” is read as exclusion or separation, developed from the context as an enduring judicial condition and not as the moment existence ends, the preposition alone not carrying the doctrine; (3) Matthew 10:28 and 25:46 are kept within Israel’s Kingdom/Prophecy setting and are not transferred to the Body or treated as Mystery doctrine, but are used as witnesses to what Scripture reveals of the fate and punishment of the wicked within the Prophecy Program, distinguishing doctrinal testimony about judgment from programmatic application to the Body. Governing method rule: the case is built cumulatively and never rests on one Greek word or one proof text; the volume distinguishes death, destruction, punishment, torment, exclusion, second death and final judgment, asking of each text what it explicitly establishes in its own context; where annihilationism makes a legitimate lexical observation the volume acknowledges it and does not overstate the reply; the conclusion stands because the total scriptural evidence requires it, not because every judgment term is forced to mean eternal conscious torment. Binding rules and format: Rules 7, 11 and 13–19 bind, with Rule 32 and the expanded Rule 33 where touched; Rules 8, 12, 20–28 and 30 do not; the passage-citation, modern-sources-only, verse-level index, four-page preview and Related Reading rules apply; 50–70 pages including the cover, KJV only, Roboto, $14.99, objections chapter in the Covenantal pattern. Series standard: Final_Punishment_Commentary_Standard_v1.1.md. Status: thesis, title and architecture approved; nothing drafted and nothing on the website.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 The End of the Lost pricing (publisher directive, 2026-10-26): the stand-alone volume is $14.99 and has no bundle; the Complete Commentary Library of all 49 volumes (48 volumes in ten series plus this volume) is $464.99 (individually $734.51; save $269.52, about 37%), replacing $454.99 for 48 volumes; the figure takes effect on the Commentary Collection page when the volume is published, and until then the page keeps its current count and price.</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 Amended v1.172 (publisher directive, 2026-10-25): Rule 37 replaces the form this rule gave the Conclusion and withdraws this rule’s Study Summary and Final Synthesis provisions for every study built from now on; the plain-voice wording below stays in force for Key Distinctions to Retain and the closing line of any section that tests readings.</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14:paraId="31BC0D84" w14:textId="77777777" w:rsidR="00B61C01" w:rsidRDefault="0049255F">
      <w:pPr>
        <w:pStyle w:val="Heading2"/>
      </w:pPr>
      <w:r>
        <w:rPr/>
        <w:t>Rule 37 — Conclusion Section Standard (2026-10-25)</w:t>
      </w:r>
    </w:p>
    <w:p>
      <w:pPr/>
      <w:r>
        <w:rPr/>
        <w:t>Conclusion Section Standard (publisher directive, 2026-10-25). Beginning with Study 88 and for every Digital Study built or rebuilt from now on, the Conclusion is the single concluding statement of the study’s findings. There is no separate Study Summary and no Final Synthesis. (1) Purpose: the Conclusion answers one question: What did the examination of this passage plainly reveal? It is not an apologetic argument, a doctrinal defense or a restatement of a predetermined theological thesis. The study begins with the biblical text and examines its audience, setting, wording, context, citations, commands, promises and applications; the Conclusion comes afterward and states plainly what that examination revealed. (2) Form: one concise, integrated prose paragraph, normally about five to eight sentences depending on the complexity of the passage. It (a) states the passage’s central finding immediately, and never opens with “In this study we examined…” or a review of procedure; (b) states the primary command, teaching, event or doctrinal content of the passage as a whole; (c) identifies the audience when audience affects interpretation (Israel, the Twelve, a particular assembly, the Body of Christ, unbelievers or another audience), only as the text establishes it; (d) incorporates only the decisive contextual findings and does not re-list every observation; (e) where the passage quotes earlier Scripture, distinguishes what the earlier text originally says from what the present writer says or applies; (f) states textual boundaries observationally where they materially affect interpretation (“The passage does not mention…”, “The text does not state…”, “Paul does not identify…”, “No fulfillment language appears…”), and avoids argumentative formulations (“This proves…”, “Therefore this interpretation is impossible…”, “Any other reading is wrong…”, “This conclusively refutes…”); and (g) ends with the passage’s positive meaning, the clearest statement of what the passage communicates, and not primarily with what it does not say. (3) Tone: text-centered, observational, context-controlled, plainly stated, doctrinally precise, non-apologetic and free from polemical language. The Conclusion may be decisive: objectivity does not require vagueness, and where the examination clearly establishes something it is stated plainly; the conclusion arises from the evidence examined and is never a theological thesis imposed on the passage beforehand. (4) What it must not become: a summary of every section, a repeat of the study outline, a list of all observations already made, a defense of Acts Overlap Theology or any other system, a place to introduce new evidence or arguments, a claim beyond what the study established, a statement of what interpretation must be rejected unless the text itself establishes that boundary, or an assignment of another synthesis exercise. (5) Test before finalizing: could a reader understand what this passage plainly reveals by reading the Conclusion alone, while still being able to return to the body of the study and verify every major statement from the textual examination? If yes, the Conclusion is working. Governing rule: the study examines first and concludes afterward. (6) Structure: the study body examines the textual evidence; the Conclusion states what that examination revealed; Key Distinctions to Retain preserves the main distinctions in quick-reference form; the Scripture-Tracing Exercise, Review and Discussion Questions, Teaching Outline and Guided Further Study let the reader verify, retain, teach and further examine the findings; the single end imprint follows. Sections 3, 6, 7 and 10 are amended to match, and the Study Summary and Final Synthesis are removed from the required sequence. (7) Relationship to Rule 34: this rule replaces the form Rule 34 gave the Conclusion and withdraws Rule 34’s Study Summary and Final Synthesis provisions for every study built from now on; Rule 34’s plain-voice wording remains in force for Key Distinctions to Retain and for the closing line of any section that tests readings. The reader-facing wording rule (Rule 14) applies to every word. (8) Scope: Digital Studies (Mode 1). Earlier studies that carry a Study Summary and a Final Synthesis (Studies 1–87) keep them until they are reopened or the publisher directs; Studies 76 and 87, written under Rule 34, are likewise brought to this rule when reopened. The Parable Studies (Rule 35) are not changed by this rule unless the publisher directs. The page-length standard in Section 9 is unchanged. (9) Model: the Conclusion of Study 88 (2 Corinthians 6:14–7:1), as supplied by the publisher, is the model for form and tone. First applied to Study 88 (its Study Summary and Final Synthesis removed, the Table of Contents, preview image and What’s Included list updated; 16 pages with the cover, unchanged). Rule 10 now reads “Rules 1–9, 11–28, 30, 32, 33, 34 and 37”.</w:t>
      </w:r>
    </w:p>
    <w:p>
      <w:pPr/>
      <w:r>
        <w:rPr/>
        <w:t>(10) Evidence-first synthesis (publisher directive, 2026-10-25, v1.173; this applies automatically whenever an existing Digital Study is rebuilt or its Conclusion is revised, and to every new study): the Conclusion reports what the textual examination established, in this order. (a) Answer the study title directly: the first sentence states the principal finding in text-controlled language, no broader than the evidence in the body, and opens with a formulation such as “The passages examined identify…”, “The text presents…”, “Paul states…” or “Taken in their stated settings…”, never “This study has shown…”, “We have seen…”, “This proves…”, “Therefore our position is…” or a doctrinal-system formulation the cited passages do not state. (b) Move from explicit observations to synthesis: passage A says X, passage B identifies Y, Paul states Q; taken together, these passages reveal R. Never the reverse (the conclusion is R, therefore the passages prove R); the Digital Studies are observational, not apologetic. (c) Distinguish explicit statements from synthesis: a synthesized conclusion is introduced as synthesis (“Taken together, these passages…”, “The passages examined present…”) and is never written as though one verse states it; “Paul says…” is used only where Paul says the stated proposition. (d) Prefer text-controlled wording to system-controlled wording (for example “Daniel 9:24 places the seventy weeks upon Daniel’s people and holy city” over “The Tribulation belongs to the Prophecy Program”); the synthesis may follow once the evidence producing it has been stated. (e) Do not insert secondary doctrines merely because they are true or important: include only what is necessary to answer the study’s governing question, leave adequately established distinctions in the body, and do not compress the removed Study Summary and Final Synthesis into the Conclusion. (f) State negative findings only as textual boundaries, only where the absence materially affects the answer (“The passage does not state…”, “The Body is not named in these passages”, “No fulfillment language appears in the passage”), never converting silence into an unsupported assertion and never writing “This proves that…”, “This makes the opposing interpretation impossible…”, “Therefore it cannot mean…” or “Any other interpretation goes beyond Scripture…”. (g) Handle a genuinely disputed passage explicitly and proportionately: acknowledge the dispute briefly, state whether the conclusion depends upon resolving it (for example “The interpretation of this expression remains disputed, and the conclusion above does not depend upon resolving it.”), and where clearer passages establish the finding build the Conclusion from those. (h) The final sentence is the controlled synthesis: it answers what these passages collectively reveal about the study’s question, preferably begins “Taken together, these passages…”, synthesizes only evidence already established, introduces no new doctrine, remains text-centered, is decisive without being apologetic, and ends positively with what the passages reveal.</w:t>
      </w:r>
    </w:p>
    <w:p>
      <w:pPr/>
      <w:r>
        <w:rPr/>
        <w:t>Required pattern and tests (v1.173). Sentence 1: direct finding in the most text-controlled language; sentences 2–5 or as needed: decisive evidence; next, if necessary: an important boundary; next, if necessary: a disputed issue; final sentence: controlled synthesis. Before finalizing, every Conclusion is tested: (1) Title: does it directly answer the study title? (2) Evidence: can every substantive statement be traced to evidence already examined in the body? (3) Attribution: is what an individual passage explicitly says distinguished from what several passages collectively indicate? (4) Objectivity: is it reporting what the examination revealed, or defending a theological system (if the latter, rewrite)? (5) Scope: does it include only findings necessary to answer the governing question (a point that is important but secondary stays in the body)? (6) Silence: are textual absences stated as observations and not as proof? (7) Disputed texts: does the conclusion depend unnecessarily upon a disputed interpretation when clearer passages establish the finding (if so, restructure)? (8) Final sentence: does it synthesize evidence already presented and introduce no new claim? (9) Stand-alone readability: could a reader read only the Conclusion, understand what the examination revealed, then return to the body and verify every major statement? Governing principle: Digital Study Conclusions move from textual observation to synthesis, never from theological synthesis backward to proof texts; explicit statements are reported as explicit statements and synthesized conclusions are identified as synthesis; the Conclusion answers the study’s governing question with the minimum number of findings necessary to answer it plainly and completely, and does not attempt to preserve every important point made in the body. In every study check (Step 1), report whether the Conclusion follows this pattern. This amends Rule 37 and does not change its scope (Digital Studies, Mode 1); Rule 10 still reads “Rules 1–9, 11–28, 30, 32, 33, 34 and 37”.</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v1.175 — Master Standard v1.175 (publisher directive, 2026-10-26): adds to §20 Rule 29 a stand-alone Commentary Volume, The End of the Lost — Destruction, Eternal Punishment, and the Case Against Annihilationism, outside every series: thesis (destruction language does not by itself establish annihilation; context decides; the judgment passages cumulatively establish irreversible, enduring punishment and, where stated, continuing conscious experience), rulings on Revelation 14:11, 2 Thessalonians 1:9 and Matthew 10:28 / 25:46 (Kingdom setting, not transferred to the Body), the cumulative-method rule (no single word or proof text; legitimate lexical points acknowledged), binding rules and format, and Library pricing for 49 volumes at $464.99 (individually $734.51; save $269.52, about 37%), effective when the volume is published. Series standard: Final_Punishment_Commentary_Standard_v1.1.md. Recorded in CLAUDE.md in the same pass. Rule 10 does not change. Nothing drafted; nothing on the website. Digital Studies content rules are unaffected.</w:t>
      </w:r>
    </w:p>
    <w:p>
      <w:pPr>
        <w:pStyle w:val="ListBullet"/>
      </w:pPr>
      <w:r>
        <w:t>v1.174 —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pPr>
        <w:pStyle w:val="ListBullet"/>
      </w:pPr>
      <w:r>
        <w:t>v1.173 — Master Standard v1.173 (publisher directive, 2026-10-25): amends §20 Rule 37 with clause (10) and the “Required pattern and tests” paragraph (evidence-first synthesis for every Digital Study Conclusion, applied automatically whenever a study is rebuilt or its Conclusion revised). No other section changed. CLAUDE.md updated in the same pass.</w:t>
      </w:r>
    </w:p>
    <w:p>
      <w:pPr>
        <w:pStyle w:val="ListBullet"/>
      </w:pPr>
      <w:r>
        <w:t>v1.172 — Master Standard v1.172 (publisher directive, 2026-10-25): adds §20 Rule 37 (Conclusion Section Standard) and amends §3 (sequence now 14 items: the Study Summary and Final Synthesis are removed), §6 (structure line), §7 (required closing components), §10 (imprint wording) and Rule 34 (its Conclusion form and its Study Summary and Final Synthesis provisions are superseded for studies built from now on; its plain-voice wording stays for Key Distinctions and the closing lines of testing sections). Rule 10 now reads “Rules 1–9, 11–28, 30, 32, 33, 34 and 37”. First applied to Study 88 (Study Summary and Final Synthesis removed; Conclusion in the publisher’s supplied wording; Table of Contents, preview image and What’s Included list updated; 16 pages with the cover, unchanged). Earlier studies take the rule when reopened or when the publisher directs; Section 9 and the Parable Studies are unchanged. Recorded in CLAUDE.md as v1.172 in the same pass.</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