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jc w:val="center"/>
      </w:pPr>
      <w:r>
        <w:rPr>
          <w:rFonts w:ascii="Montserrat" w:hAnsi="Montserrat"/>
          <w:b/>
          <w:color w:val="176536"/>
          <w:sz w:val="20"/>
        </w:rPr>
        <w:t>ZAY-MARIE PRESS</w:t>
      </w:r>
    </w:p>
    <w:p>
      <w:pPr>
        <w:pStyle w:val="Title"/>
        <w:spacing w:before="1760"/>
        <w:jc w:val="center"/>
      </w:pPr>
      <w:r>
        <w:t>Historical Drift</w:t>
      </w:r>
    </w:p>
    <w:p>
      <w:pPr>
        <w:pStyle w:val="Subtitle"/>
        <w:jc w:val="center"/>
      </w:pPr>
      <w:r>
        <w:t>How the Church Lost Sight of Pauline Distinctions</w:t>
      </w:r>
    </w:p>
    <w:p>
      <w:pPr>
        <w:spacing w:before="40" w:after="240"/>
        <w:pBdr>
          <w:bottom w:val="single" w:sz="24" w:space="1" w:color="9B7418"/>
        </w:pBdr>
      </w:pPr>
    </w:p>
    <w:p>
      <w:pPr>
        <w:spacing w:before="360"/>
        <w:jc w:val="center"/>
      </w:pPr>
      <w:r>
        <w:rPr>
          <w:i/>
          <w:sz w:val="26"/>
        </w:rPr>
        <w:t>A historical and theological introduction</w:t>
      </w:r>
    </w:p>
    <w:p>
      <w:pPr>
        <w:spacing w:before="1280"/>
        <w:jc w:val="center"/>
      </w:pPr>
      <w:r>
        <w:rPr>
          <w:rFonts w:ascii="Montserrat" w:hAnsi="Montserrat"/>
          <w:b/>
          <w:color w:val="0B2748"/>
          <w:sz w:val="22"/>
        </w:rPr>
        <w:t>ALEXANDER S. MARIEN</w:t>
      </w:r>
    </w:p>
    <w:p>
      <w:pPr>
        <w:spacing w:before="1680"/>
        <w:jc w:val="center"/>
      </w:pPr>
      <w:r>
        <w:rPr>
          <w:rFonts w:ascii="Montserrat" w:hAnsi="Montserrat"/>
          <w:b/>
          <w:color w:val="176536"/>
          <w:sz w:val="18"/>
        </w:rPr>
        <w:t>A FREE ZAY-MARIE PRESS RESOURCE</w:t>
      </w:r>
    </w:p>
    <w:p>
      <w:pPr>
        <w:jc w:val="center"/>
      </w:pPr>
      <w:r>
        <w:t>zaymariepress.com</w:t>
      </w:r>
    </w:p>
    <w:p>
      <w:r>
        <w:br w:type="page"/>
      </w:r>
    </w:p>
    <w:p>
      <w:pPr>
        <w:pStyle w:val="Heading1"/>
      </w:pPr>
      <w:r>
        <w:t>Historical Drift</w:t>
      </w:r>
    </w:p>
    <w:p>
      <w:pPr>
        <w:pStyle w:val="Subtitle"/>
      </w:pPr>
      <w:r>
        <w:t>How the Church Lost Sight of Pauline Distinctions</w:t>
      </w:r>
    </w:p>
    <w:p>
      <w:r>
        <w:t>Copyright © 2026 Zay-Marie Press. All rights reserved.</w:t>
      </w:r>
    </w:p>
    <w:p>
      <w:r>
        <w:t>This publication is provided without charge for personal study, teaching preparation, and noncommercial distribution in its complete and unaltered form. It may not be sold, repackaged, or excerpted for commercial use without written permission from Zay-Marie Press.</w:t>
      </w:r>
    </w:p>
    <w:p>
      <w:r>
        <w:t>Scripture quotations are from the American Standard Version of 1901, public domain, unless otherwise noted.</w:t>
      </w:r>
    </w:p>
    <w:p>
      <w:r>
        <w:t>Published by Zay-Marie Press  |  zaymariepress.com</w:t>
      </w:r>
    </w:p>
    <w:p>
      <w:pPr>
        <w:pStyle w:val="Heading2"/>
      </w:pPr>
      <w:r>
        <w:t>How to Read This Study</w:t>
      </w:r>
    </w:p>
    <w:p>
      <w:r>
        <w:t>This monograph advances a theological thesis through historical evidence. Those two tasks must not be confused. The writings of early and later Christians can document what they said, emphasized, or omitted. They cannot by themselves prove the biblical correctness of Acts Overlap Theology. Scripture remains the doctrinal authority; historical sources show how interpretive habits developed and why certain Pauline distinctions became difficult to see.</w:t>
      </w:r>
    </w:p>
    <w:p>
      <w:r>
        <w:t>Accordingly, the study uses three levels of claim. An explicit source claim identifies what a writer plainly states. A historical inference proposes the most responsible explanation of a pattern in the evidence. A theological evaluation measures that pattern against the Acts Overlap framework. Where the surviving evidence is limited, the wording remains limited as well.</w:t>
      </w:r>
    </w:p>
    <w:p>
      <w:pPr>
        <w:pStyle w:val="Heading2"/>
      </w:pPr>
      <w:r>
        <w:t>Contents</w:t>
      </w:r>
    </w:p>
    <w:p>
      <w:pPr>
        <w:pStyle w:val="ListBullet"/>
        <w:spacing w:after="60" w:line="245" w:lineRule="auto"/>
        <w:ind w:left="403" w:hanging="230"/>
      </w:pPr>
      <w:r>
        <w:t>Introduction  The Question of Historical Drift</w:t>
      </w:r>
    </w:p>
    <w:p>
      <w:pPr>
        <w:pStyle w:val="ListBullet"/>
        <w:spacing w:after="60" w:line="245" w:lineRule="auto"/>
        <w:ind w:left="403" w:hanging="230"/>
      </w:pPr>
      <w:r>
        <w:t>Chapter 1  The Pauline Distinctions That Govern the Inquiry</w:t>
      </w:r>
    </w:p>
    <w:p>
      <w:pPr>
        <w:pStyle w:val="ListBullet"/>
        <w:spacing w:after="60" w:line="245" w:lineRule="auto"/>
        <w:ind w:left="403" w:hanging="230"/>
      </w:pPr>
      <w:r>
        <w:t>Chapter 2  The Sub Apostolic Witness and the Early Loss of Precision</w:t>
      </w:r>
    </w:p>
    <w:p>
      <w:pPr>
        <w:pStyle w:val="ListBullet"/>
        <w:spacing w:after="60" w:line="245" w:lineRule="auto"/>
        <w:ind w:left="403" w:hanging="230"/>
      </w:pPr>
      <w:r>
        <w:t>Chapter 3  Allegory Augustine and the Consolidation of a Single Program Reading</w:t>
      </w:r>
    </w:p>
    <w:p>
      <w:pPr>
        <w:pStyle w:val="ListBullet"/>
        <w:spacing w:after="60" w:line="245" w:lineRule="auto"/>
        <w:ind w:left="403" w:hanging="230"/>
      </w:pPr>
      <w:r>
        <w:t>Chapter 4  Medieval Inheritance and Reformation Recovery</w:t>
      </w:r>
    </w:p>
    <w:p>
      <w:pPr>
        <w:pStyle w:val="ListBullet"/>
        <w:spacing w:after="60" w:line="245" w:lineRule="auto"/>
        <w:ind w:left="403" w:hanging="230"/>
      </w:pPr>
      <w:r>
        <w:t>Chapter 5  Dispensational Recovery and the Need for Further Precision</w:t>
      </w:r>
    </w:p>
    <w:p>
      <w:pPr>
        <w:pStyle w:val="ListBullet"/>
        <w:spacing w:after="60" w:line="245" w:lineRule="auto"/>
        <w:ind w:left="403" w:hanging="230"/>
      </w:pPr>
      <w:r>
        <w:t>Chapter 6  Why the Drift Still Shapes Modern Interpretation</w:t>
      </w:r>
    </w:p>
    <w:p>
      <w:pPr>
        <w:pStyle w:val="ListBullet"/>
        <w:spacing w:after="60" w:line="245" w:lineRule="auto"/>
        <w:ind w:left="403" w:hanging="230"/>
      </w:pPr>
      <w:r>
        <w:t>Chapter 7  A Responsible Path of Recovery</w:t>
      </w:r>
    </w:p>
    <w:p>
      <w:pPr>
        <w:pStyle w:val="ListBullet"/>
        <w:spacing w:after="60" w:line="245" w:lineRule="auto"/>
        <w:ind w:left="403" w:hanging="230"/>
      </w:pPr>
      <w:r>
        <w:t>Conclusion  Meaning Assignment and Application</w:t>
      </w:r>
    </w:p>
    <w:p>
      <w:pPr>
        <w:pStyle w:val="ListBullet"/>
        <w:spacing w:after="60" w:line="245" w:lineRule="auto"/>
        <w:ind w:left="403" w:hanging="230"/>
      </w:pPr>
      <w:r>
        <w:t>Selected Notes and Bibliography</w:t>
      </w:r>
    </w:p>
    <w:p>
      <w:r>
        <w:br w:type="page"/>
      </w:r>
    </w:p>
    <w:p>
      <w:pPr>
        <w:pStyle w:val="Heading1"/>
      </w:pPr>
      <w:r>
        <w:t>Introduction</w:t>
      </w:r>
    </w:p>
    <w:p>
      <w:pPr>
        <w:pStyle w:val="Subtitle"/>
      </w:pPr>
      <w:r>
        <w:t>The Question of Historical Drift</w:t>
      </w:r>
    </w:p>
    <w:p>
      <w:pPr>
        <w:spacing w:before="40" w:after="240"/>
        <w:pBdr>
          <w:bottom w:val="single" w:sz="18" w:space="1" w:color="176536"/>
        </w:pBdr>
      </w:pPr>
    </w:p>
    <w:p>
      <w:r>
        <w:t>Paul's letters make claims that are easy to quote and difficult to preserve. He says that his gospel came through the revelation of Jesus Christ rather than through human transmission (Galatians 1:11–12). He describes a mystery once hidden but now manifested (Romans 16:25–26; Colossians 1:25–27). He identifies Jew and Gentile as joint heirs, joint members of one Body, and joint partakers of the promise in Christ through the gospel (Ephesians 3:1–9). He also insists that Israel's partial hardening is neither total nor permanent and that God's calling of that nation remains irrevocable (Romans 11:1–2, 25–29).</w:t>
      </w:r>
    </w:p>
    <w:p>
      <w:r>
        <w:t>Taken together, these texts require more than a generalized contrast between Old Testament and New Testament. Within Acts Overlap Theology they identify two divinely purposed programs. Prophecy concerns covenant Israel, the promised Kingdom, and the earthly reign of the Messiah. Mystery concerns the Body of Christ and the truth revealed through Paul. Prophecy begins before Acts 9. Mystery begins at Acts 9 with Paul's calling. The programs operate distinctly and concurrently through Acts 9–28. At Acts 28, Israel's Prophecy Program is judicially suspended; the Mystery Program continues beyond Acts 28. Suspension is not cancellation, and distinction is not opposition.</w:t>
      </w:r>
    </w:p>
    <w:p>
      <w:r>
        <w:t>The historical question is therefore focused: how did Christian interpretation move from Paul's explicit distinctions to systems that commonly treat Israel and the Body as one continuous covenant people, or treat the Mystery as merely the clearer disclosure of what prophecy had already contained? No single council, writer, or date supplies the answer. The shift developed through accumulated reading habits: the declining visibility of Paul's distinctive commission, the growth of typological and allegorical interpretation, the church's changing social identity, the authority of Augustinian synthesis, and the later consolidation of inherited systems.</w:t>
      </w:r>
    </w:p>
    <w:p>
      <w:r>
        <w:t>The word drift is used carefully. It does not mean that every post-apostolic Christian abandoned grace, rejected Scripture, or consciously opposed Paul. It describes a loss of interpretive resolution. A community may quote Paul, preach Christ, defend the gospel, and still fail to preserve the programmatic distinctions that govern audience, promise, commission, and hope. Historical drift is often gradual precisely because much truth remains present while important boundaries become less visible.</w:t>
      </w:r>
    </w:p>
    <w:p>
      <w:r>
        <w:t>This study does not claim that the Fathers, the medieval church, the Reformers, or later evangelical traditions form a single undifferentiated error. Their writings contain genuine insight, substantial disagreement, and varying degrees of expectation for Israel's future. Augustine, for example, could expect a future conversion of Jewish people while still locating the church within a single people-of-God framework. Some Puritans anticipated a notable future turning of Israel. Darby recovered a strong Israel-church distinction, yet his system should not simply be equated with Acts Overlap Theology. Historical accuracy requires those qualifications.</w:t>
      </w:r>
    </w:p>
    <w:p>
      <w:r>
        <w:t>The aim is constructive. By tracing how interpretive categories developed, readers can better understand why the Pauline distinctions may sound unfamiliar even when the biblical texts themselves are familiar. History cannot replace exegesis, but it can expose inherited assumptions. The final goal is to return to the canonical order: meaning first, assignment second, application third.</w:t>
      </w:r>
    </w:p>
    <w:p>
      <w:pPr>
        <w:spacing w:after="80"/>
      </w:pPr>
      <w:r>
        <w:rPr>
          <w:rFonts w:ascii="Montserrat" w:hAnsi="Montserrat"/>
          <w:b/>
          <w:color w:val="176536"/>
          <w:sz w:val="18"/>
        </w:rPr>
        <w:t>CHAPTER 1</w:t>
      </w:r>
    </w:p>
    <w:p>
      <w:pPr>
        <w:pStyle w:val="Heading1"/>
      </w:pPr>
      <w:r>
        <w:t>The Pauline Distinctions That Govern the Inquiry</w:t>
      </w:r>
    </w:p>
    <w:p>
      <w:pPr>
        <w:spacing w:before="40" w:after="240"/>
        <w:pBdr>
          <w:bottom w:val="single" w:sz="18" w:space="1" w:color="176536"/>
        </w:pBdr>
      </w:pPr>
    </w:p>
    <w:p>
      <w:r>
        <w:t>A historical study needs a stable doctrinal control. Without one, the inquiry can quietly redefine the very distinctions it claims to trace. The following architecture governs this monograph.</w:t>
      </w:r>
    </w:p>
    <w:p>
      <w:pPr>
        <w:pStyle w:val="Heading2"/>
      </w:pPr>
      <w:r>
        <w:t>Prophecy and Mystery</w:t>
      </w:r>
    </w:p>
    <w:p>
      <w:r>
        <w:t>Prophecy is God's revealed purpose for covenant Israel as announced in the Hebrew Scriptures and continued through the earthly ministry of Christ, the Twelve, and the kingdom proclamation in early Acts. Its subjects include the Abrahamic promises, the Davidic throne, Israel's national cleansing and restoration, the regathering of the remnant, and the Messiah's earthly Kingdom. These promises retain their stated national and covenantal identity. Later quotation does not erase their original audience or transfer their ownership to the Body of Christ.</w:t>
      </w:r>
    </w:p>
    <w:p>
      <w:r>
        <w:t>Mystery is the previously hidden truth revealed through Paul concerning the Body of Christ, the joint standing of believing Jews and Gentiles in that Body, and the distinctive calling and administration attached to it. At the system level, the governing phrase is revealed through Paul. This wording honors Paul's revelatory stewardship without making claims the text does not require about the timing of every individual truth or the awareness of every other apostle.</w:t>
      </w:r>
    </w:p>
    <w:p>
      <w:pPr>
        <w:pStyle w:val="Heading2"/>
      </w:pPr>
      <w:r>
        <w:t>Acts 9 and the Overlap</w:t>
      </w:r>
    </w:p>
    <w:p>
      <w:r>
        <w:t>The Mystery Program begins with Paul's calling in Acts 9. Yet the beginning of Mystery does not mean the immediate end of Prophecy. From Acts 9 through Acts 28, the two programs operate concurrently and distinctly. Peter and the circumcision apostles continue their covenantal and kingdom ministry, while Paul receives and unfolds his commission among the Gentiles. Shared salvation in Christ does not erase distinct commissions, audiences, signs, hopes, or programmatic assignments.</w:t>
      </w:r>
    </w:p>
    <w:p>
      <w:r>
        <w:t>This overlap explains features that a simple sequential model struggles to hold together. Paul participates in signs during the overlap. He reasons first with Jews in city after city. He goes to Jerusalem, recognizes the ministry of the circumcision apostles, and maintains the distinct character of his own apostleship. None of these facts requires the Body to become Israel or Israel's program to morph into the Body. Distinct divine works can be concurrent without being confused.</w:t>
      </w:r>
    </w:p>
    <w:p>
      <w:pPr>
        <w:pStyle w:val="Heading2"/>
      </w:pPr>
      <w:r>
        <w:t>Acts 28 and Suspension</w:t>
      </w:r>
    </w:p>
    <w:p>
      <w:r>
        <w:t>Acts 28 marks the judicial suspension of Israel's Prophecy Program. Paul's citation of Isaiah 6 in Rome declares the nation's hardened condition in a climactic apostolic setting, and the salvation of God is sent to the Gentiles, who will hear it (Acts 28:25–28). Suspension does not mean that Israel's covenants are annulled, that the church replaces Israel, or that prophecy is spiritualized into Mystery. It means that the national program awaits future resumption and fulfillment, while the Mystery Program continues beyond Acts 28.</w:t>
      </w:r>
    </w:p>
    <w:p>
      <w:r>
        <w:t>The distinction matters for historical analysis. The destruction of Jerusalem in AD 70 was a devastating historical event, but it is not the doctrinal boundary that establishes Israel's suspension. The controlling boundary is Acts 28. Historical developments after AD 70 may help explain how the church perceived itself; they must not be allowed to rewrite the inspired chronology.</w:t>
      </w:r>
    </w:p>
    <w:p>
      <w:pPr>
        <w:pStyle w:val="Heading2"/>
      </w:pPr>
      <w:r>
        <w:t>One Divine Purpose without One Undifferentiated Program</w:t>
      </w:r>
    </w:p>
    <w:p>
      <w:r>
        <w:t>God's purposes are coherent because God is one, Christ's redemptive work is sufficient, and Scripture forms a unified revelation. Coherence, however, is not sameness. The continuity and certainty of God's covenant and prophetic purpose for Israel do not require the Body of Christ to inherit Israel's covenants, promises, Kingdom instructions, or national identity. Likewise, the distinctiveness of Mystery does not make it an afterthought. Paul calls it part of God's eternal purpose in Christ (Ephesians 3:11).</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656"/>
            <w:shd w:fill="0B2748"/>
            <w:tcMar>
              <w:top w:w="110" w:type="dxa"/>
              <w:start w:w="120" w:type="dxa"/>
              <w:bottom w:w="110" w:type="dxa"/>
              <w:end w:w="12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Montserrat" w:hAnsi="Montserrat"/>
                <w:b/>
                <w:color w:val="FFFFFF"/>
                <w:sz w:val="17"/>
              </w:rPr>
              <w:t>Control</w:t>
            </w:r>
          </w:p>
        </w:tc>
        <w:tc>
          <w:tcPr>
            <w:tcW w:type="dxa" w:w="3672"/>
            <w:shd w:fill="0B2748"/>
            <w:tcMar>
              <w:top w:w="110" w:type="dxa"/>
              <w:start w:w="120" w:type="dxa"/>
              <w:bottom w:w="110" w:type="dxa"/>
              <w:end w:w="12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Montserrat" w:hAnsi="Montserrat"/>
                <w:b/>
                <w:color w:val="FFFFFF"/>
                <w:sz w:val="17"/>
              </w:rPr>
              <w:t>What It Affirms</w:t>
            </w:r>
          </w:p>
        </w:tc>
        <w:tc>
          <w:tcPr>
            <w:tcW w:type="dxa" w:w="3672"/>
            <w:shd w:fill="0B2748"/>
            <w:tcMar>
              <w:top w:w="110" w:type="dxa"/>
              <w:start w:w="120" w:type="dxa"/>
              <w:bottom w:w="110" w:type="dxa"/>
              <w:end w:w="12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Montserrat" w:hAnsi="Montserrat"/>
                <w:b/>
                <w:color w:val="FFFFFF"/>
                <w:sz w:val="17"/>
              </w:rPr>
              <w:t>What It Excludes</w:t>
            </w:r>
          </w:p>
        </w:tc>
      </w:tr>
      <w:tr>
        <w:tc>
          <w:tcPr>
            <w:tcW w:type="dxa" w:w="1656"/>
            <w:tcMar>
              <w:top w:w="110" w:type="dxa"/>
              <w:start w:w="120" w:type="dxa"/>
              <w:bottom w:w="110" w:type="dxa"/>
              <w:end w:w="12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Acts 9</w:t>
            </w:r>
          </w:p>
        </w:tc>
        <w:tc>
          <w:tcPr>
            <w:tcW w:type="dxa" w:w="3672"/>
            <w:tcMar>
              <w:top w:w="110" w:type="dxa"/>
              <w:start w:w="120" w:type="dxa"/>
              <w:bottom w:w="110" w:type="dxa"/>
              <w:end w:w="12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Mystery begins with Paul’s calling</w:t>
            </w:r>
          </w:p>
        </w:tc>
        <w:tc>
          <w:tcPr>
            <w:tcW w:type="dxa" w:w="3672"/>
            <w:tcMar>
              <w:top w:w="110" w:type="dxa"/>
              <w:start w:w="120" w:type="dxa"/>
              <w:bottom w:w="110" w:type="dxa"/>
              <w:end w:w="12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A beginning at Pentecost or Acts 28</w:t>
            </w:r>
          </w:p>
        </w:tc>
      </w:tr>
      <w:tr>
        <w:tc>
          <w:tcPr>
            <w:tcW w:type="dxa" w:w="1656"/>
            <w:tcMar>
              <w:top w:w="110" w:type="dxa"/>
              <w:start w:w="120" w:type="dxa"/>
              <w:bottom w:w="110" w:type="dxa"/>
              <w:end w:w="120" w:type="dxa"/>
            </w:tcMar>
            <w:shd w:fill="F4F7F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Acts 9–28</w:t>
            </w:r>
          </w:p>
        </w:tc>
        <w:tc>
          <w:tcPr>
            <w:tcW w:type="dxa" w:w="3672"/>
            <w:tcMar>
              <w:top w:w="110" w:type="dxa"/>
              <w:start w:w="120" w:type="dxa"/>
              <w:bottom w:w="110" w:type="dxa"/>
              <w:end w:w="120" w:type="dxa"/>
            </w:tcMar>
            <w:shd w:fill="F4F7F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Prophecy and Mystery operate distinctly and concurrently</w:t>
            </w:r>
          </w:p>
        </w:tc>
        <w:tc>
          <w:tcPr>
            <w:tcW w:type="dxa" w:w="3672"/>
            <w:tcMar>
              <w:top w:w="110" w:type="dxa"/>
              <w:start w:w="120" w:type="dxa"/>
              <w:bottom w:w="110" w:type="dxa"/>
              <w:end w:w="120" w:type="dxa"/>
            </w:tcMar>
            <w:shd w:fill="F4F7F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A morphing or replacement process</w:t>
            </w:r>
          </w:p>
        </w:tc>
      </w:tr>
      <w:tr>
        <w:tc>
          <w:tcPr>
            <w:tcW w:type="dxa" w:w="1656"/>
            <w:tcMar>
              <w:top w:w="110" w:type="dxa"/>
              <w:start w:w="120" w:type="dxa"/>
              <w:bottom w:w="110" w:type="dxa"/>
              <w:end w:w="12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Acts 28</w:t>
            </w:r>
          </w:p>
        </w:tc>
        <w:tc>
          <w:tcPr>
            <w:tcW w:type="dxa" w:w="3672"/>
            <w:tcMar>
              <w:top w:w="110" w:type="dxa"/>
              <w:start w:w="120" w:type="dxa"/>
              <w:bottom w:w="110" w:type="dxa"/>
              <w:end w:w="12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Prophecy is judicially suspended</w:t>
            </w:r>
          </w:p>
        </w:tc>
        <w:tc>
          <w:tcPr>
            <w:tcW w:type="dxa" w:w="3672"/>
            <w:tcMar>
              <w:top w:w="110" w:type="dxa"/>
              <w:start w:w="120" w:type="dxa"/>
              <w:bottom w:w="110" w:type="dxa"/>
              <w:end w:w="12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Cancellation of Israel’s promises</w:t>
            </w:r>
          </w:p>
        </w:tc>
      </w:tr>
      <w:tr>
        <w:tc>
          <w:tcPr>
            <w:tcW w:type="dxa" w:w="1656"/>
            <w:tcMar>
              <w:top w:w="110" w:type="dxa"/>
              <w:start w:w="120" w:type="dxa"/>
              <w:bottom w:w="110" w:type="dxa"/>
              <w:end w:w="120" w:type="dxa"/>
            </w:tcMar>
            <w:shd w:fill="F4F7F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Beyond Acts 28</w:t>
            </w:r>
          </w:p>
        </w:tc>
        <w:tc>
          <w:tcPr>
            <w:tcW w:type="dxa" w:w="3672"/>
            <w:tcMar>
              <w:top w:w="110" w:type="dxa"/>
              <w:start w:w="120" w:type="dxa"/>
              <w:bottom w:w="110" w:type="dxa"/>
              <w:end w:w="120" w:type="dxa"/>
            </w:tcMar>
            <w:shd w:fill="F4F7F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Mystery continues</w:t>
            </w:r>
          </w:p>
        </w:tc>
        <w:tc>
          <w:tcPr>
            <w:tcW w:type="dxa" w:w="3672"/>
            <w:tcMar>
              <w:top w:w="110" w:type="dxa"/>
              <w:start w:w="120" w:type="dxa"/>
              <w:bottom w:w="110" w:type="dxa"/>
              <w:end w:w="120" w:type="dxa"/>
            </w:tcMar>
            <w:shd w:fill="F4F7F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Transfer of Israel’s identity to the Body</w:t>
            </w:r>
          </w:p>
        </w:tc>
      </w:tr>
      <w:tr>
        <w:tc>
          <w:tcPr>
            <w:tcW w:type="dxa" w:w="1656"/>
            <w:tcMar>
              <w:top w:w="110" w:type="dxa"/>
              <w:start w:w="120" w:type="dxa"/>
              <w:bottom w:w="110" w:type="dxa"/>
              <w:end w:w="12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Interpretation</w:t>
            </w:r>
          </w:p>
        </w:tc>
        <w:tc>
          <w:tcPr>
            <w:tcW w:type="dxa" w:w="3672"/>
            <w:tcMar>
              <w:top w:w="110" w:type="dxa"/>
              <w:start w:w="120" w:type="dxa"/>
              <w:bottom w:w="110" w:type="dxa"/>
              <w:end w:w="12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Meaning then assignment then application</w:t>
            </w:r>
          </w:p>
        </w:tc>
        <w:tc>
          <w:tcPr>
            <w:tcW w:type="dxa" w:w="3672"/>
            <w:tcMar>
              <w:top w:w="110" w:type="dxa"/>
              <w:start w:w="120" w:type="dxa"/>
              <w:bottom w:w="110" w:type="dxa"/>
              <w:end w:w="12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Immediate appropriation without audience control</w:t>
            </w:r>
          </w:p>
        </w:tc>
      </w:tr>
    </w:tbl>
    <w:p>
      <w:pPr>
        <w:spacing w:after="0"/>
      </w:pPr>
    </w:p>
    <w:p>
      <w:pPr>
        <w:pStyle w:val="SourceNote"/>
      </w:pPr>
      <w:r>
        <w:t>Doctrinal control texts: Acts 9; Acts 15; Acts 21; Acts 28:23–31; Romans 11; Galatians 1–2; Ephesians 2–3; Colossians 1:24–27.</w:t>
      </w:r>
    </w:p>
    <w:p>
      <w:pPr>
        <w:spacing w:after="80"/>
      </w:pPr>
      <w:r>
        <w:rPr>
          <w:rFonts w:ascii="Montserrat" w:hAnsi="Montserrat"/>
          <w:b/>
          <w:color w:val="176536"/>
          <w:sz w:val="18"/>
        </w:rPr>
        <w:t>CHAPTER 2</w:t>
      </w:r>
    </w:p>
    <w:p>
      <w:pPr>
        <w:pStyle w:val="Heading1"/>
      </w:pPr>
      <w:r>
        <w:t>The Sub Apostolic Witness and the Early Loss of Precision</w:t>
      </w:r>
    </w:p>
    <w:p>
      <w:pPr>
        <w:spacing w:before="40" w:after="240"/>
        <w:pBdr>
          <w:bottom w:val="single" w:sz="18" w:space="1" w:color="176536"/>
        </w:pBdr>
      </w:pPr>
    </w:p>
    <w:p>
      <w:r>
        <w:t>The generation after the apostles did not leave a systematic commentary on the relationship between Prophecy and Mystery. Its surviving writings are occasional: letters written to address order, endurance, false teaching, martyrdom, worship, and moral formation. That limitation is important. Silence about a developed Pauline architecture does not prove that every community had rejected it. It does show that the distinction was not functioning prominently in the documents that became formative for later Christian memory.</w:t>
      </w:r>
    </w:p>
    <w:p>
      <w:pPr>
        <w:pStyle w:val="Heading2"/>
      </w:pPr>
      <w:r>
        <w:t>Reading Absence Responsibly</w:t>
      </w:r>
    </w:p>
    <w:p>
      <w:r>
        <w:t>First Clement draws extensively from Israel's Scriptures and from Pauline themes in order to address disorder at Corinth. The letter speaks richly of faith, humility, resurrection, and ecclesial peace. It does not pause to distinguish Israel's covenantal instructions from the Body's calling. That is an observation about emphasis, not proof that Clement consciously denied Paul's Mystery. The responsible conclusion is limited: the surviving letter does not preserve the Prophecy-Mystery distinction as an explicit hermeneutical control.</w:t>
      </w:r>
    </w:p>
    <w:p>
      <w:r>
        <w:t>The same caution applies to Ignatius and Polycarp. Ignatius emphasizes unity around bishops, presbyters, and deacons as the churches confront division and false teaching. Polycarp gathers scriptural exhortations for the Philippians and frequently echoes Paul. Neither writer offers the detailed programmatic distinctions that govern the present study. It is too strong to claim from this alone that they deliberately replaced Israel or that their church order was designed to supersede Israel's institutions. Their silence is historically meaningful, but silence must remain silence.</w:t>
      </w:r>
    </w:p>
    <w:p>
      <w:r>
        <w:t>The Didache combines moral instruction, baptismal practice, fasting, prayer, Eucharistic thanksgiving, church order, and eschatological expectation. Its Jewish texture is unmistakable, yet it does not distinguish the concurrent programs visible in Acts. Again, the document shows a blended practical inheritance rather than a formal argument against Pauline distinctiveness.</w:t>
      </w:r>
    </w:p>
    <w:p>
      <w:pPr>
        <w:pStyle w:val="Heading2"/>
      </w:pPr>
      <w:r>
        <w:t>The Epistle of Barnabas</w:t>
      </w:r>
    </w:p>
    <w:p>
      <w:r>
        <w:t>The Epistle of Barnabas provides firmer evidence because it makes an explicit covenantal argument. In chapter 14, the writer interprets the broken tablets at Sinai to mean that Israel did not receive the covenant in the way commonly assumed and identifies the covenant's reception with those made new through Christ. Whatever nuances belong to the document's rhetoric, its approach places Christian readers inside Israel's covenantal texts through a strongly appropriative interpretation. Here the historical evidence moves beyond silence into express theological relocation.</w:t>
      </w:r>
    </w:p>
    <w:p>
      <w:r>
        <w:t>Barnabas should not be made to speak for every early Christian. Nor should one document be treated as the single origin of supersessionism. It is, however, an early and significant witness to a reading strategy in which Israel's failure becomes the basis for assigning Israel's covenantal inheritance to the church. That strategy conflicts with Paul's insistence that Israel has not been cast away and that the gifts and calling of God are irrevocable (Romans 11:1–2, 28–29).</w:t>
      </w:r>
    </w:p>
    <w:p>
      <w:pPr>
        <w:pStyle w:val="Heading2"/>
      </w:pPr>
      <w:r>
        <w:t>Why Precision Became Difficult</w:t>
      </w:r>
    </w:p>
    <w:p>
      <w:r>
        <w:t>Several historical pressures help explain the loss of visibility. The apostolic generation passed away. The churches became increasingly Gentile. Jewish and Christian communities separated under social, liturgical, and political pressures. The catastrophe of AD 70 and the later Bar Kokhba revolt transformed the public reality of Jewish life in the empire. Christian teachers also faced Gnosticism, persecution, disputes about Christ, and the need to establish durable church order. In such conditions, the exact relation of Paul's commission to Israel's prophetic program was not always the question receiving sustained attention.</w:t>
      </w:r>
    </w:p>
    <w:p>
      <w:r>
        <w:t>These circumstances do not excuse incorrect interpretation, but they prevent a simplistic moral story. Historical drift normally occurs when urgent questions crowd out governing distinctions. The early writers could defend Christ's deity, commend holiness, honor martyrdom, and preserve apostolic texts while leaving Paul's programmatic architecture underdeveloped. The resulting gap then became the starting point inherited by later interpreters.</w:t>
      </w:r>
    </w:p>
    <w:p>
      <w:r>
        <w:t>The central historical judgment is therefore modest but consequential: by the middle of the second century, the surviving mainstream sources do not display a clear Acts Overlap framework. The church possessed Paul's letters, but the distinction between Israel's Prophecy Program and the Mystery revealed through Paul was no longer a visible organizing principle in its major extant writings.</w:t>
      </w:r>
    </w:p>
    <w:p>
      <w:pPr>
        <w:pStyle w:val="SourceNote"/>
      </w:pPr>
      <w:r>
        <w:t>Primary witnesses: 1 Clement; Ignatius, Letters; Polycarp, To the Philippians; Didache; Epistle of Barnabas, especially chapter 14. Dates and authorship questions remain debated; the argument depends on the texts’ interpretive patterns, not on an exact year.</w:t>
      </w:r>
    </w:p>
    <w:p>
      <w:pPr>
        <w:spacing w:after="80"/>
      </w:pPr>
      <w:r>
        <w:rPr>
          <w:rFonts w:ascii="Montserrat" w:hAnsi="Montserrat"/>
          <w:b/>
          <w:color w:val="176536"/>
          <w:sz w:val="18"/>
        </w:rPr>
        <w:t>CHAPTER 3</w:t>
      </w:r>
    </w:p>
    <w:p>
      <w:pPr>
        <w:pStyle w:val="Heading1"/>
      </w:pPr>
      <w:r>
        <w:t>Allegory Augustine and the Consolidation of a Single Program Reading</w:t>
      </w:r>
    </w:p>
    <w:p>
      <w:pPr>
        <w:spacing w:before="40" w:after="240"/>
        <w:pBdr>
          <w:bottom w:val="single" w:sz="18" w:space="1" w:color="176536"/>
        </w:pBdr>
      </w:pPr>
    </w:p>
    <w:p>
      <w:r>
        <w:t>The movement from reduced visibility to durable synthesis took centuries. It involved multiple schools and cannot be attributed to one person. Yet two developments were especially influential: the expansion of spiritual and allegorical interpretation, and the Augustinian account of the church and the Kingdom.</w:t>
      </w:r>
    </w:p>
    <w:p>
      <w:pPr>
        <w:pStyle w:val="Heading2"/>
      </w:pPr>
      <w:r>
        <w:t>Alexandrian Interpretation</w:t>
      </w:r>
    </w:p>
    <w:p>
      <w:r>
        <w:t>Christian interpreters did not invent typology or spiritual reading. The New Testament itself identifies patterns, figures, and fulfillments. The interpretive issue is therefore not whether Scripture has theological depth. It is whether a later spiritual application preserves the original meaning, audience, and promise or replaces them. Meaning first, assignment second, application third remains the necessary order.</w:t>
      </w:r>
    </w:p>
    <w:p>
      <w:r>
        <w:t>Clement of Alexandria and Origen worked in an intellectual environment shaped by Greek philosophy, Jewish exegesis, and Christian controversy. Origen's On First Principles describes Scripture as possessing bodily, soulish, and spiritual senses. His exegetical practice can be careful and textually attentive, but it also gives spiritual meaning a controlling role when the literal sense seems difficult, unworthy, or pedagogically incomplete. This method made it easier for Israel's national, territorial, and Kingdom promises to be read primarily as truths about the soul, the church, or the spiritual life.</w:t>
      </w:r>
    </w:p>
    <w:p>
      <w:r>
        <w:t>Claims about Origen require specificity. It is unsafe to create a table of supposed verse-by-verse interpretations unless the cited commentary actually contains those readings. The stronger and supportable historical point is methodological: Origen's multi-level hermeneutic supplied a respected framework in which the literal and historical referent could be subordinated to a spiritual sense. Once that habit became normal, the distinction between Israel's prophetic promises and the Body's Mystery calling became harder to maintain.</w:t>
      </w:r>
    </w:p>
    <w:p>
      <w:pPr>
        <w:pStyle w:val="Heading2"/>
      </w:pPr>
      <w:r>
        <w:t>Augustine's Synthesis</w:t>
      </w:r>
    </w:p>
    <w:p>
      <w:r>
        <w:t>Augustine's influence on Western Christianity is difficult to overstate. In The City of God, especially Book XX, he interprets the thousand years of Revelation 20 within the present age of the church rather than as a future earthly reign of Christ over restored Israel. This amillennial reading joined ecclesiology and eschatology in a powerful single-program account: the church is the pilgrim City of God within history, awaiting final resurrection and judgment.</w:t>
      </w:r>
    </w:p>
    <w:p>
      <w:r>
        <w:t>That description must be qualified. Augustine did not simply teach that Jewish people had no future conversion. In City of God XX.29 he discusses Malachi's Elijah prophecy and anticipates that Jews will believe in Christ before the final judgment. The point of critique is therefore narrower. Augustine's expectation of Jewish belief does not preserve the full national, covenantal, territorial, and Kingdom architecture promised to Israel. Future conversion is not identical to the restoration of Israel's Prophecy Program.</w:t>
      </w:r>
    </w:p>
    <w:p>
      <w:r>
        <w:t>This distinction protects historical fairness. It is possible for a theologian to expect a future turning of Jews while still understanding the church as the one covenant people in whom Israel's promises receive their governing fulfillment. Acts Overlap Theology asks a further question: are Israel's covenants and Kingdom promises retained for Israel according to their original prophetic assignment? On that question, Augustine's synthesis does not preserve Pauline programmatic distinction.</w:t>
      </w:r>
    </w:p>
    <w:p>
      <w:pPr>
        <w:pStyle w:val="Heading2"/>
      </w:pPr>
      <w:r>
        <w:t>From Interpretation to Institution</w:t>
      </w:r>
    </w:p>
    <w:p>
      <w:r>
        <w:t>Augustine did not create the entire medieval tradition, but his synthesis gave Western theology a durable grammar. The church's present life could be described as the millennial reign. Israel's Scriptures could be read as the church's own covenantal history. Prophetic land, throne, nation, and Kingdom language could be spiritualized into ecclesial realities without appearing to cancel Scripture, because the spiritual fulfillment was regarded as the deeper fulfillment.</w:t>
      </w:r>
    </w:p>
    <w:p>
      <w:r>
        <w:t>The result was not the disappearance of Paul. Paul became central to doctrines of grace, sin, predestination, the church, and salvation. What receded was the administrative and programmatic setting of Paul's revelation. A tradition can be intensely Pauline in soteriology while failing to be Pauline in its distinction between Prophecy and Mystery.</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952"/>
            <w:shd w:fill="0B2748"/>
            <w:tcMar>
              <w:top w:w="110" w:type="dxa"/>
              <w:start w:w="120" w:type="dxa"/>
              <w:bottom w:w="110" w:type="dxa"/>
              <w:end w:w="12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Montserrat" w:hAnsi="Montserrat"/>
                <w:b/>
                <w:color w:val="FFFFFF"/>
                <w:sz w:val="17"/>
              </w:rPr>
              <w:t>Historical Evidence</w:t>
            </w:r>
          </w:p>
        </w:tc>
        <w:tc>
          <w:tcPr>
            <w:tcW w:type="dxa" w:w="3384"/>
            <w:shd w:fill="0B2748"/>
            <w:tcMar>
              <w:top w:w="110" w:type="dxa"/>
              <w:start w:w="120" w:type="dxa"/>
              <w:bottom w:w="110" w:type="dxa"/>
              <w:end w:w="12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Montserrat" w:hAnsi="Montserrat"/>
                <w:b/>
                <w:color w:val="FFFFFF"/>
                <w:sz w:val="17"/>
              </w:rPr>
              <w:t>Responsible Conclusion</w:t>
            </w:r>
          </w:p>
        </w:tc>
        <w:tc>
          <w:tcPr>
            <w:tcW w:type="dxa" w:w="3024"/>
            <w:shd w:fill="0B2748"/>
            <w:tcMar>
              <w:top w:w="110" w:type="dxa"/>
              <w:start w:w="120" w:type="dxa"/>
              <w:bottom w:w="110" w:type="dxa"/>
              <w:end w:w="12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Montserrat" w:hAnsi="Montserrat"/>
                <w:b/>
                <w:color w:val="FFFFFF"/>
                <w:sz w:val="17"/>
              </w:rPr>
              <w:t>Overstatement to Avoid</w:t>
            </w:r>
          </w:p>
        </w:tc>
      </w:tr>
      <w:tr>
        <w:tc>
          <w:tcPr>
            <w:tcW w:type="dxa" w:w="2952"/>
            <w:tcMar>
              <w:top w:w="110" w:type="dxa"/>
              <w:start w:w="120" w:type="dxa"/>
              <w:bottom w:w="110" w:type="dxa"/>
              <w:end w:w="12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Origen uses layered senses of Scripture</w:t>
            </w:r>
          </w:p>
        </w:tc>
        <w:tc>
          <w:tcPr>
            <w:tcW w:type="dxa" w:w="3384"/>
            <w:tcMar>
              <w:top w:w="110" w:type="dxa"/>
              <w:start w:w="120" w:type="dxa"/>
              <w:bottom w:w="110" w:type="dxa"/>
              <w:end w:w="12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His method can subordinate historical assignment to spiritual meaning</w:t>
            </w:r>
          </w:p>
        </w:tc>
        <w:tc>
          <w:tcPr>
            <w:tcW w:type="dxa" w:w="3024"/>
            <w:tcMar>
              <w:top w:w="110" w:type="dxa"/>
              <w:start w:w="120" w:type="dxa"/>
              <w:bottom w:w="110" w:type="dxa"/>
              <w:end w:w="12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Every spiritual reading denies the literal sense</w:t>
            </w:r>
          </w:p>
        </w:tc>
      </w:tr>
      <w:tr>
        <w:tc>
          <w:tcPr>
            <w:tcW w:type="dxa" w:w="2952"/>
            <w:tcMar>
              <w:top w:w="110" w:type="dxa"/>
              <w:start w:w="120" w:type="dxa"/>
              <w:bottom w:w="110" w:type="dxa"/>
              <w:end w:w="120" w:type="dxa"/>
            </w:tcMar>
            <w:shd w:fill="F4F7F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Augustine reads Revelation 20 ecclesially</w:t>
            </w:r>
          </w:p>
        </w:tc>
        <w:tc>
          <w:tcPr>
            <w:tcW w:type="dxa" w:w="3384"/>
            <w:tcMar>
              <w:top w:w="110" w:type="dxa"/>
              <w:start w:w="120" w:type="dxa"/>
              <w:bottom w:w="110" w:type="dxa"/>
              <w:end w:w="120" w:type="dxa"/>
            </w:tcMar>
            <w:shd w:fill="F4F7F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His synthesis does not preserve a future earthly Israel Kingdom in the Acts Overlap sense</w:t>
            </w:r>
          </w:p>
        </w:tc>
        <w:tc>
          <w:tcPr>
            <w:tcW w:type="dxa" w:w="3024"/>
            <w:tcMar>
              <w:top w:w="110" w:type="dxa"/>
              <w:start w:w="120" w:type="dxa"/>
              <w:bottom w:w="110" w:type="dxa"/>
              <w:end w:w="120" w:type="dxa"/>
            </w:tcMar>
            <w:shd w:fill="F4F7F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Augustine expected no future Jewish belief</w:t>
            </w:r>
          </w:p>
        </w:tc>
      </w:tr>
      <w:tr>
        <w:tc>
          <w:tcPr>
            <w:tcW w:type="dxa" w:w="2952"/>
            <w:tcMar>
              <w:top w:w="110" w:type="dxa"/>
              <w:start w:w="120" w:type="dxa"/>
              <w:bottom w:w="110" w:type="dxa"/>
              <w:end w:w="12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Patristic writers appropriate Israel’s texts</w:t>
            </w:r>
          </w:p>
        </w:tc>
        <w:tc>
          <w:tcPr>
            <w:tcW w:type="dxa" w:w="3384"/>
            <w:tcMar>
              <w:top w:w="110" w:type="dxa"/>
              <w:start w:w="120" w:type="dxa"/>
              <w:bottom w:w="110" w:type="dxa"/>
              <w:end w:w="12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Church identity increasingly absorbs Israel’s scriptural language</w:t>
            </w:r>
          </w:p>
        </w:tc>
        <w:tc>
          <w:tcPr>
            <w:tcW w:type="dxa" w:w="3024"/>
            <w:tcMar>
              <w:top w:w="110" w:type="dxa"/>
              <w:start w:w="120" w:type="dxa"/>
              <w:bottom w:w="110" w:type="dxa"/>
              <w:end w:w="12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All Fathers taught an identical replacement system</w:t>
            </w:r>
          </w:p>
        </w:tc>
      </w:tr>
    </w:tbl>
    <w:p>
      <w:pPr>
        <w:spacing w:after="0"/>
      </w:pPr>
    </w:p>
    <w:p>
      <w:pPr>
        <w:pStyle w:val="SourceNote"/>
      </w:pPr>
      <w:r>
        <w:t>Primary sources: Origen, On First Principles, Book IV; Augustine, The City of God, Books XVII–XX, especially XX.7–9 and XX.29.</w:t>
      </w:r>
    </w:p>
    <w:p>
      <w:pPr>
        <w:spacing w:after="80"/>
      </w:pPr>
      <w:r>
        <w:rPr>
          <w:rFonts w:ascii="Montserrat" w:hAnsi="Montserrat"/>
          <w:b/>
          <w:color w:val="176536"/>
          <w:sz w:val="18"/>
        </w:rPr>
        <w:t>CHAPTER 4</w:t>
      </w:r>
    </w:p>
    <w:p>
      <w:pPr>
        <w:pStyle w:val="Heading1"/>
      </w:pPr>
      <w:r>
        <w:t>Medieval Inheritance and Reformation Recovery</w:t>
      </w:r>
    </w:p>
    <w:p>
      <w:pPr>
        <w:spacing w:before="40" w:after="240"/>
        <w:pBdr>
          <w:bottom w:val="single" w:sz="18" w:space="1" w:color="176536"/>
        </w:pBdr>
      </w:pPr>
    </w:p>
    <w:p>
      <w:r>
        <w:t>By the medieval period, the basic hermeneutical synthesis was inherited rather than newly argued in every generation. Christian teaching developed sophisticated accounts of Scripture's literal and spiritual senses, commonly summarized by the fourfold pattern of literal, allegorical, moral, and anagogical meaning. Medieval interpreters differed widely, and the literal sense remained important, especially in scholastic theology. Yet the governing ecclesial framework rarely reopened the question of whether Israel and the Body of Christ belonged to distinct programs.</w:t>
      </w:r>
    </w:p>
    <w:p>
      <w:pPr>
        <w:pStyle w:val="Heading2"/>
      </w:pPr>
      <w:r>
        <w:t>The Medieval Inheritance</w:t>
      </w:r>
    </w:p>
    <w:p>
      <w:r>
        <w:t>Thomas Aquinas illustrates both the strength and limit of this tradition. His biblical commentaries often attend closely to grammar, argument, and theological order. He does not merely discard the literal text. Yet he reads Paul within the church's received catholic framework rather than as the revealer through whom a distinct Mystery Program begins in Acts 9. The issue is not lack of intelligence or reverence; it is the inherited set of questions and categories brought to the text.</w:t>
      </w:r>
    </w:p>
    <w:p>
      <w:r>
        <w:t>This is how drift becomes stable. Once a synthesis is embedded in preaching, liturgy, catechesis, institutions, and theological education, later readers encounter it as the natural shape of Christianity. They may debate many doctrines within the system without reconsidering the system's underlying account of Israel, the church, and the Kingdom.</w:t>
      </w:r>
    </w:p>
    <w:p>
      <w:pPr>
        <w:pStyle w:val="Heading2"/>
      </w:pPr>
      <w:r>
        <w:t>What the Reformation Recovered</w:t>
      </w:r>
    </w:p>
    <w:p>
      <w:r>
        <w:t>The Protestant Reformation recovered vital Pauline truths with extraordinary force. Luther's insistence on justification by faith challenged the late medieval penitential system and returned Romans and Galatians to the center of public controversy. The Reformers emphasized the authority of Scripture, the sufficiency of Christ, and salvation by grace. These recoveries should be acknowledged without reservation.</w:t>
      </w:r>
    </w:p>
    <w:p>
      <w:r>
        <w:t>Yet recovery in soteriology did not automatically produce recovery in programmatic hermeneutics. Luther remained deeply shaped by Augustine. His later writings against the Jews were grievous and should be condemned on their own terms; historical explanation must not turn those writings into the simple, inevitable result of one doctrinal proposition. Anti-Jewish rhetoric involved exegetical, social, political, and personal factors. The narrower point for this study is that Luther did not recover a clear Prophecy-Mystery architecture or Israel's covenantal Kingdom future.</w:t>
      </w:r>
    </w:p>
    <w:p>
      <w:r>
        <w:t>Calvin's theology likewise offers a powerful account of redemptive unity across the covenants. He distinguishes historical administrations but locates them within one covenantal purpose and one people of God. That framework differs at a basic level from Acts Overlap Theology, which does not transfer Israel's covenants or national identity to the Body. The difference should be stated accurately, not caricatured: Calvin does not ignore history, and Acts Overlap Theology does not deny divine unity. They disagree about the programmatic identity and assignment of covenant promises.</w:t>
      </w:r>
    </w:p>
    <w:p>
      <w:pPr>
        <w:pStyle w:val="Heading2"/>
      </w:pPr>
      <w:r>
        <w:t>Partial Openings concerning Israel</w:t>
      </w:r>
    </w:p>
    <w:p>
      <w:r>
        <w:t>The post-Reformation record is not uniform. A number of Protestant interpreters expected a significant future conversion or restoration of Jewish people. Puritan and post-Puritan writers often read Romans 11 with greater futurity than strict supersessionist summaries suggest. This expectation represents a meaningful recovery of one part of Paul's argument, but it does not necessarily establish the full Acts Overlap framework. Future Jewish conversion can still be placed inside a single-program ecclesiology.</w:t>
      </w:r>
    </w:p>
    <w:p>
      <w:r>
        <w:t>The Reformation therefore produced a real but partial recovery. It restored the authority of Scripture and central truths of Paul's gospel while leaving the inherited relationship between Israel and the church largely intact. That combination explains why a tradition may be vigorously committed to Pauline justification and yet treat the Mystery of Ephesians 3 as the clarification of one continuous covenant people.</w:t>
      </w:r>
    </w:p>
    <w:p>
      <w:r>
        <w:t>A fair historical account resists two opposite errors. It must not minimize what the Reformers recovered. It must also not assume that recovery of the gospel automatically recovered every distinction in Paul's revelation. Doctrinal progress can be substantial and incomplete at the same time.</w:t>
      </w:r>
    </w:p>
    <w:p>
      <w:pPr>
        <w:pStyle w:val="SourceNote"/>
      </w:pPr>
      <w:r>
        <w:t>Representative sources: Martin Luther, Lectures on Romans and On the Jews and Their Lies; John Calvin, Institutes of the Christian Religion, especially Books II–III, and Commentary on Romans 11; Thomas Aquinas, Commentaries on Romans and Ephesians. Consult each writer directly and distinguish their own claims from later system labels.</w:t>
      </w:r>
    </w:p>
    <w:p>
      <w:pPr>
        <w:spacing w:after="80"/>
      </w:pPr>
      <w:r>
        <w:rPr>
          <w:rFonts w:ascii="Montserrat" w:hAnsi="Montserrat"/>
          <w:b/>
          <w:color w:val="176536"/>
          <w:sz w:val="18"/>
        </w:rPr>
        <w:t>CHAPTER 5</w:t>
      </w:r>
    </w:p>
    <w:p>
      <w:pPr>
        <w:pStyle w:val="Heading1"/>
      </w:pPr>
      <w:r>
        <w:t>Dispensational Recovery and the Need for Further Precision</w:t>
      </w:r>
    </w:p>
    <w:p>
      <w:pPr>
        <w:spacing w:before="40" w:after="240"/>
        <w:pBdr>
          <w:bottom w:val="single" w:sz="18" w:space="1" w:color="176536"/>
        </w:pBdr>
      </w:pPr>
    </w:p>
    <w:p>
      <w:r>
        <w:t>The nineteenth-century rise of dispensational interpretation reopened questions that the dominant Western traditions had largely settled. John Nelson Darby and the Brethren movement emphasized the distinction between Israel and the church, the literal fulfillment of Israel's promises, and the church's heavenly calling. Through conferences, publications, the Scofield Reference Bible, Bible institutes, and later seminaries, these ideas reached a broad evangelical audience.</w:t>
      </w:r>
    </w:p>
    <w:p>
      <w:pPr>
        <w:pStyle w:val="Heading2"/>
      </w:pPr>
      <w:r>
        <w:t>What Was Recovered</w:t>
      </w:r>
    </w:p>
    <w:p>
      <w:r>
        <w:t>Dispensationalism's most important recovery was not a chart of end-time events but a hermeneutical refusal to let the church absorb Israel. Abrahamic, Davidic, land, national, and Kingdom promises were again allowed a future fulfillment corresponding to their prophetic terms. This restored force to Romans 11: Israel's hardening is partial and temporary, and the nation's election remains bound to God's faithfulness.</w:t>
      </w:r>
    </w:p>
    <w:p>
      <w:r>
        <w:t>Darby also gave sustained attention to the church's heavenly identity and to the Mystery associated with Paul's ministry. These emphases moved interpretation closer to the categorical distinction between Israel's Prophecy Program and the Body of Christ. It is historically safer to say that Darby recovered and systematized important distinctions than to claim that he reproduced Acts Overlap Theology in full. He wrote within his own context, terminology, and developing system.</w:t>
      </w:r>
    </w:p>
    <w:p>
      <w:pPr>
        <w:pStyle w:val="Heading2"/>
      </w:pPr>
      <w:r>
        <w:t>Where Classical Sequencing Falls Short</w:t>
      </w:r>
    </w:p>
    <w:p>
      <w:r>
        <w:t>Classical dispensational presentations often describe the church as a parenthesis in Israel's prophetic history and speak of prophecy resuming after the church's removal. That language preserves difference, but it can imply a simple sequence: Israel's program stops, the church begins, the church ends, and Israel resumes. Acts itself presents a more complex chronology.</w:t>
      </w:r>
    </w:p>
    <w:p>
      <w:r>
        <w:t>Within Acts Overlap Theology, Mystery begins at Acts 9 while Prophecy continues. The two programs operate concurrently through Acts 28. Signs occur during the overlap, not in a vague transition from one people into another. At Acts 28, Prophecy is suspended; Mystery continues. This framework avoids both covenantal merger and overly neat sequential-program language.</w:t>
      </w:r>
    </w:p>
    <w:p>
      <w:r>
        <w:t>The word parenthesis can also mislead if it suggests that the Body of Christ is an interruption or contingency. Ephesians 3:11 locates the Mystery within God's eternal purpose in Christ. The Body is distinct from Israel without being secondary in divine intention. Likewise, Israel's suspension is judicial and temporary without making Israel merely an unfinished preliminary stage of the church.</w:t>
      </w:r>
    </w:p>
    <w:p>
      <w:pPr>
        <w:pStyle w:val="Heading2"/>
      </w:pPr>
      <w:r>
        <w:t>The Recovery Must Remain Text Governed</w:t>
      </w:r>
    </w:p>
    <w:p>
      <w:r>
        <w:t>Dispensational tradition itself can become an inherited lens. Charts, study-Bible notes, conference formulas, and system vocabulary must remain subject to Scripture. A recovery movement ceases to recover when its summaries become immune to correction. The goal is not loyalty to Darby, Scofield, covenant theology, or any contemporary label. The goal is fidelity to the textual distinctions God has revealed.</w:t>
      </w:r>
    </w:p>
    <w:p>
      <w:r>
        <w:t>This also requires careful terminology. Paul did not construct the divine architecture; he disclosed what was revealed through him. The word syssoma in Ephesians 3:6 vividly expresses joint membership in one Body, but claims about whether Paul coined the word or whether it appears nowhere earlier in all Greek literature require lexical evidence and should not carry more theological weight than the inspired context itself. Strong doctrine does not need inflated historical or linguistic claims.</w:t>
      </w:r>
    </w:p>
    <w:p>
      <w:r>
        <w:t>The dispensational recovery was therefore indispensable and unfinished. It restored Israel's future and the church's distinct calling to wide evangelical attention. Acts Overlap Theology receives those gains while refining the chronology and rejecting language of transition, replacement, morphing, or one program mechanically succeeding another.</w:t>
      </w:r>
    </w:p>
    <w:p>
      <w:pPr>
        <w:pStyle w:val="SourceNote"/>
      </w:pPr>
      <w:r>
        <w:t>Representative primary sources: John Nelson Darby, The Hopes of the Church of God and collected writings on the church; C. I. Scofield, ed., The Scofield Reference Bible (1909). These sources should be used to document their own systems, not treated as authorities over Scripture.</w:t>
      </w:r>
    </w:p>
    <w:p>
      <w:pPr>
        <w:spacing w:after="80"/>
      </w:pPr>
      <w:r>
        <w:rPr>
          <w:rFonts w:ascii="Montserrat" w:hAnsi="Montserrat"/>
          <w:b/>
          <w:color w:val="176536"/>
          <w:sz w:val="18"/>
        </w:rPr>
        <w:t>CHAPTER 6</w:t>
      </w:r>
    </w:p>
    <w:p>
      <w:pPr>
        <w:pStyle w:val="Heading1"/>
      </w:pPr>
      <w:r>
        <w:t>Why the Drift Still Shapes Modern Interpretation</w:t>
      </w:r>
    </w:p>
    <w:p>
      <w:pPr>
        <w:spacing w:before="40" w:after="240"/>
        <w:pBdr>
          <w:bottom w:val="single" w:sz="18" w:space="1" w:color="176536"/>
        </w:pBdr>
      </w:pPr>
    </w:p>
    <w:p>
      <w:r>
        <w:t>Modern Christians inherit more than doctrines. They inherit habits of reading: which questions seem natural, which distinctions seem unnecessary, and which promises are assumed to belong to the church. These habits appear in preaching, worship, systematic theology, and everyday application even when no formal position on Israel or dispensations is stated.</w:t>
      </w:r>
    </w:p>
    <w:p>
      <w:pPr>
        <w:pStyle w:val="Heading2"/>
      </w:pPr>
      <w:r>
        <w:t>The Immediate Application Reflex</w:t>
      </w:r>
    </w:p>
    <w:p>
      <w:r>
        <w:t>A common sermon moves directly from an Old Testament text to the contemporary congregation. The application may be morally sound, but the route can bypass the passage's audience, covenant, historical setting, and programmatic assignment. Israel's land promise becomes a promise of personal success; a Kingdom command becomes an unqualified church mandate; a national warning becomes a direct statement about the Body. The problem is not application. The problem is application detached from meaning and assignment.</w:t>
      </w:r>
    </w:p>
    <w:p>
      <w:r>
        <w:t>Acts Overlap Theology offers a disciplined alternative. First establish what the text meant in its own setting. Then identify to whom the instruction, promise, warning, or commission belongs. Only then draw application according to truths that cross the programmatic boundary without transferring identity or ownership. The God who kept covenant with Israel teaches the Body about divine faithfulness, but Israel's covenant does not thereby become the Body's covenant.</w:t>
      </w:r>
    </w:p>
    <w:p>
      <w:pPr>
        <w:pStyle w:val="Heading2"/>
      </w:pPr>
      <w:r>
        <w:t>The One People Assumption</w:t>
      </w:r>
    </w:p>
    <w:p>
      <w:r>
        <w:t>Many modern systems begin with the unity of the people of God and interpret distinctions inside that unity. Acts Overlap Theology begins with the distinctions Scripture states and then affirms unity at the level Scripture allows. Both approaches speak of one God and salvation through Christ, but they organize the canonical evidence differently. The historical tradition often makes the first approach feel self-evident, while the second is dismissed as fragmentation before its textual case is heard.</w:t>
      </w:r>
    </w:p>
    <w:p>
      <w:r>
        <w:t>The consequences reach beyond eschatology. If Israel and the Body are merged, the church may appropriate covenant signs, national promises, Kingdom ethics, or Israel's public vocation without adequate control. If they are separated by a rigid sequence rather than understood through the Acts overlap, interpreters may mishandle Paul's signs, his synagogue ministry, his relationship to Jerusalem, or the coexistence of distinct apostolic commissions.</w:t>
      </w:r>
    </w:p>
    <w:p>
      <w:pPr>
        <w:pStyle w:val="Heading2"/>
      </w:pPr>
      <w:r>
        <w:t>Avoiding Contemporary Shortcuts</w:t>
      </w:r>
    </w:p>
    <w:p>
      <w:r>
        <w:t>Historical theology should not be reduced to a roster of present-day ministries or denominations. Individuals within the same tradition often differ, and public labels conceal important qualifications. Naming contemporary figures can also turn an introductory resource into a polemic that requires far more documentation than the central thesis needs. The more durable approach is to describe interpretive patterns and invite readers to test any teacher, including Zay-Marie Press, by Scripture.</w:t>
      </w:r>
    </w:p>
    <w:p>
      <w:r>
        <w:t>The same discipline applies to current political questions. Biblical teaching about Israel is not identical to an automatic theological endorsement of every action of a modern state, nor does criticism of a modern government cancel Israel's prophetic identity. A free introductory monograph should establish the biblical and historical categories before entering disputed geopolitical judgments. That wider application deserves its own carefully documented treatment.</w:t>
      </w:r>
    </w:p>
    <w:p>
      <w:pPr>
        <w:pStyle w:val="Heading2"/>
      </w:pPr>
      <w:r>
        <w:t>What the Historical Claim Can and Cannot Prove</w:t>
      </w:r>
    </w:p>
    <w:p>
      <w:r>
        <w:t>The historical record can show that explicit Acts Overlap distinctions are absent from many influential sources, that allegorical and ecclesial readings of Israel became dominant, that Augustine consolidated a single-program Western synthesis, that the Reformers recovered Pauline soteriology without recovering the full programmatic architecture, and that dispensationalism reopened the Israel-church distinction. History cannot prove by majority vote that Acts Overlap Theology is true.</w:t>
      </w:r>
    </w:p>
    <w:p>
      <w:r>
        <w:t>Nor does historical novelty disprove a doctrine. A teaching must finally be judged by Scripture. The value of history is diagnostic: it reveals why certain readings became normal and warns that familiarity is not the same as biblical necessity. Tradition can preserve truth, obscure truth, or do both at once.</w:t>
      </w:r>
    </w:p>
    <w:p>
      <w:r>
        <w:t>The modern reader should therefore replace two easy questions—Which tradition is oldest? Which system is most popular?—with a harder one: Which reading best preserves the text's meaning, audience, program, and place in the inspired chronology? Historical study clears the ground for that exegetical work.</w:t>
      </w:r>
    </w:p>
    <w:p>
      <w:pPr>
        <w:spacing w:after="80"/>
      </w:pPr>
      <w:r>
        <w:rPr>
          <w:rFonts w:ascii="Montserrat" w:hAnsi="Montserrat"/>
          <w:b/>
          <w:color w:val="176536"/>
          <w:sz w:val="18"/>
        </w:rPr>
        <w:t>CHAPTER 7</w:t>
      </w:r>
    </w:p>
    <w:p>
      <w:pPr>
        <w:pStyle w:val="Heading1"/>
      </w:pPr>
      <w:r>
        <w:t>A Responsible Path of Recovery</w:t>
      </w:r>
    </w:p>
    <w:p>
      <w:pPr>
        <w:spacing w:before="40" w:after="240"/>
        <w:pBdr>
          <w:bottom w:val="single" w:sz="18" w:space="1" w:color="176536"/>
        </w:pBdr>
      </w:pPr>
    </w:p>
    <w:p>
      <w:r>
        <w:t>Recovery begins neither with contempt for the church's past nor with uncritical loyalty to a modern system. It begins with submission to Scripture and with enough historical humility to recognize that every reader receives inherited categories. The task is to make those categories visible and test them.</w:t>
      </w:r>
    </w:p>
    <w:p>
      <w:pPr>
        <w:pStyle w:val="Heading2"/>
      </w:pPr>
      <w:r>
        <w:t>Read Pauline Claims at Full Strength</w:t>
      </w:r>
    </w:p>
    <w:p>
      <w:r>
        <w:t>The Mystery texts should be permitted to say what they say before they are harmonized with a prior covenantal synthesis. Paul received his gospel through revelation of Jesus Christ. He was entrusted with a distinctive apostleship. The Mystery was hidden and is now revealed. Jew and Gentile are made joint members of one Body. These affirmations should control the definition of the Body rather than being reduced to a more general statement that Gentiles would someday be blessed.</w:t>
      </w:r>
    </w:p>
    <w:p>
      <w:r>
        <w:t>At the same time, Paul's account of Israel should also be read at full strength. Israel's stumbling is not final. A remnant remains according to the election of grace. The hardening is partial. The Deliverer will turn ungodliness from Jacob. The gifts and calling of God are irrevocable. These affirmations prevent Mystery from becoming a replacement theology in dispensational vocabulary.</w:t>
      </w:r>
    </w:p>
    <w:p>
      <w:pPr>
        <w:pStyle w:val="Heading2"/>
      </w:pPr>
      <w:r>
        <w:t>Use the Acts Chronology</w:t>
      </w:r>
    </w:p>
    <w:p>
      <w:r>
        <w:t>Acts is not merely background to Paul's letters. It records the inspired historical setting in which the two programs operate concurrently. Acts 9 marks Paul's calling and the beginning of Mystery. Acts 15 and Galatians 2 display recognized distinctions in apostolic ministry. Paul's signs, synagogue proclamation, Gentile mission, and relationship to Jerusalem belong to the overlap. Acts 28 marks Israel's judicial suspension. Reading the epistles apart from that chronology invites either merger or artificial sequencing.</w:t>
      </w:r>
    </w:p>
    <w:p>
      <w:pPr>
        <w:pStyle w:val="Heading2"/>
      </w:pPr>
      <w:r>
        <w:t>Distinguish Evidence from Inference</w:t>
      </w:r>
    </w:p>
    <w:p>
      <w:r>
        <w:t>This discipline applies to theology and history alike. Scripture explicitly states that 144,000 are sealed from the tribes of Israel; claims about the precise scope of their ministry require inference. Historical sources explicitly state certain interpretations; claims about motives, social pressures, and causal influence often require inference. Responsible theology does not avoid inference, but it labels inference and keeps it subordinate to explicit evidence.</w:t>
      </w:r>
    </w:p>
    <w:p>
      <w:pPr>
        <w:pStyle w:val="Heading2"/>
      </w:pPr>
      <w:r>
        <w:t>Practice Meaning Assignment and Application</w:t>
      </w:r>
    </w:p>
    <w:p>
      <w:r>
        <w:t>Meaning asks what the inspired text says in its literary and historical setting. Assignment asks to whom the promise, command, identity, sign, or commission belongs. Application asks how the truth instructs readers who may not share that assignment. This sequence protects both relevance and integrity.</w:t>
      </w:r>
    </w:p>
    <w:p>
      <w:pPr>
        <w:pStyle w:val="ListBullet"/>
        <w:spacing w:after="60" w:line="245" w:lineRule="auto"/>
        <w:ind w:left="403" w:hanging="230"/>
      </w:pPr>
      <w:r>
        <w:t>Do not transfer Israel’s covenants, land, national identity, or Kingdom promises to the Body.</w:t>
      </w:r>
    </w:p>
    <w:p>
      <w:pPr>
        <w:pStyle w:val="ListBullet"/>
        <w:spacing w:after="60" w:line="245" w:lineRule="auto"/>
        <w:ind w:left="403" w:hanging="230"/>
      </w:pPr>
      <w:r>
        <w:t>Do not erase the Body’s distinctive calling by treating Mystery as merely expanded prophecy.</w:t>
      </w:r>
    </w:p>
    <w:p>
      <w:pPr>
        <w:pStyle w:val="ListBullet"/>
        <w:spacing w:after="60" w:line="245" w:lineRule="auto"/>
        <w:ind w:left="403" w:hanging="230"/>
      </w:pPr>
      <w:r>
        <w:t>Do not treat later quotation as cancellation of a passage’s original audience.</w:t>
      </w:r>
    </w:p>
    <w:p>
      <w:pPr>
        <w:pStyle w:val="ListBullet"/>
        <w:spacing w:after="60" w:line="245" w:lineRule="auto"/>
        <w:ind w:left="403" w:hanging="230"/>
      </w:pPr>
      <w:r>
        <w:t>Do not call the overlap a transition or describe one program as morphing into another.</w:t>
      </w:r>
    </w:p>
    <w:p>
      <w:pPr>
        <w:pStyle w:val="ListBullet"/>
        <w:spacing w:after="60" w:line="245" w:lineRule="auto"/>
        <w:ind w:left="403" w:hanging="230"/>
      </w:pPr>
      <w:r>
        <w:t>Do identify signs during the overlap according to their inspired setting.</w:t>
      </w:r>
    </w:p>
    <w:p>
      <w:pPr>
        <w:pStyle w:val="ListBullet"/>
        <w:spacing w:after="60" w:line="245" w:lineRule="auto"/>
        <w:ind w:left="403" w:hanging="230"/>
      </w:pPr>
      <w:r>
        <w:t>Do state historical and theological conclusions with the level of certainty the evidence supports.</w:t>
      </w:r>
    </w:p>
    <w:p>
      <w:pPr>
        <w:pStyle w:val="Heading2"/>
      </w:pPr>
      <w:r>
        <w:t>Recover with Charity and Clarity</w:t>
      </w:r>
    </w:p>
    <w:p>
      <w:r>
        <w:t>Christians who read through covenantal, amillennial, premillennial, progressive dispensational, or classical dispensational systems are not reducible to labels. Many hold the gospel faithfully and interpret Scripture with seriousness. Disagreement should be exact. Charity does not require doctrinal vagueness, and precision does not require contempt.</w:t>
      </w:r>
    </w:p>
    <w:p>
      <w:r>
        <w:t>The proper posture is therefore both firm and teachable: firm about explicit distinctions, teachable about historical claims and secondary inferences. Acts Overlap Theology should welcome correction wherever its language exceeds the text. Its credibility depends not on maximal certainty but on disciplined submission to what is written.</w:t>
      </w:r>
    </w:p>
    <w:p>
      <w:pPr>
        <w:pStyle w:val="Heading2"/>
      </w:pPr>
      <w:r>
        <w:t>A Bridge into Further Study</w:t>
      </w:r>
    </w:p>
    <w:p>
      <w:r>
        <w:t>This monograph introduces the historical problem; it does not exhaust the biblical case. Readers should next examine the texts that define the architecture: Acts 9 and Acts 28, Romans 9–11, Galatians 1–2, Ephesians 2–3, and Colossians 1. Focused studies can then address Israel and the Body of Christ, the Mystery revealed through Paul, Acts 9 and the beginning of Mystery, the Abrahamic and New Covenants, the olive tree, the Jerusalem Council, Israel's judicial blinding, the Remnant, and the signs that followed.</w:t>
      </w:r>
    </w:p>
    <w:p>
      <w:r>
        <w:t>The bridge matters because history explains why the distinctions were obscured, while exegesis establishes whether they are true. A reader who stops with history may understand the drift without recovering the text. A reader who ignores history may unknowingly repeat inherited assumptions. The two disciplines serve one another when Scripture remains supreme.</w:t>
      </w:r>
    </w:p>
    <w:p>
      <w:r>
        <w:br w:type="page"/>
      </w:r>
    </w:p>
    <w:p>
      <w:pPr>
        <w:pStyle w:val="Heading1"/>
      </w:pPr>
      <w:r>
        <w:t>Conclusion</w:t>
      </w:r>
    </w:p>
    <w:p>
      <w:pPr>
        <w:pStyle w:val="Subtitle"/>
      </w:pPr>
      <w:r>
        <w:t>Meaning Assignment and Application</w:t>
      </w:r>
    </w:p>
    <w:p>
      <w:pPr>
        <w:spacing w:before="40" w:after="240"/>
        <w:pBdr>
          <w:bottom w:val="single" w:sz="18" w:space="1" w:color="176536"/>
        </w:pBdr>
      </w:pPr>
    </w:p>
    <w:p>
      <w:r>
        <w:t>The history traced here is not a tale of pristine apostolic clarity followed by unbroken darkness. The record is more complex. Early Christians preserved the apostolic writings, defended the identity of Christ, endured persecution, and transmitted the gospel. Alexandrian interpreters pursued the unity and spiritual depth of Scripture. Augustine built a powerful account of grace, history, and the church. Medieval theologians refined methods of reading. The Reformers recovered the authority of Scripture and justification by faith. Dispensationalists restored Israel's future and the church's distinct calling to broad attention.</w:t>
      </w:r>
    </w:p>
    <w:p>
      <w:r>
        <w:t>Yet real achievements do not erase real losses. Across these centuries, the distinction between Israel's Prophecy Program and the Mystery revealed through Paul ceased to function as a governing interpretive control. Israel's covenantal and Kingdom promises were commonly absorbed into a single church-centered program. Paul's Mystery was read as fulfillment, clarification, or spiritual depth within what had already been revealed. Later dispensational recovery corrected much of that merger but often described the programs in a sequence that did not fully account for their concurrency in Acts 9–28.</w:t>
      </w:r>
    </w:p>
    <w:p>
      <w:r>
        <w:t>Acts Overlap Theology proposes a more precise architecture. Prophecy begins before Acts 9. Mystery begins at Acts 9 with Paul. The programs remain distinct and concurrent through Acts 28. Prophecy is suspended at Acts 28. Mystery continues beyond Acts 28. Israel's suspension does not cancel Israel's covenants. The Body's distinct calling does not make it an afterthought. The overlap is not a transition in which one people becomes another.</w:t>
      </w:r>
    </w:p>
    <w:p>
      <w:r>
        <w:t>Historical evidence supports the claim that this architecture became difficult to see; Scripture must support the architecture itself. That distinction is essential. The church's long history can explain how readings gained authority, but no council, theologian, or modern publisher can determine the inspired meaning by historical force. The final appeal remains to the text.</w:t>
      </w:r>
    </w:p>
    <w:p>
      <w:r>
        <w:t>The practical result is a disciplined way of reading. Establish meaning before use. Determine assignment before appropriation. Make application without transferring identity. Honor later revelation without erasing earlier audiences. Distinguish explicit evidence from responsible inference. These controls do more than settle a theological chart. They allow each portion of Scripture to speak with its own God-given clarity.</w:t>
      </w:r>
    </w:p>
    <w:p>
      <w:r>
        <w:t>Historical drift is therefore worth studying because inherited assumptions are most powerful when they remain unnamed. Once they are visible, readers can test them. The goal is not to become suspicious of all tradition but to place every tradition beneath Scripture. The letters remain, the prophetic promises remain, and God's purposes remain certain.</w:t>
      </w:r>
    </w:p>
    <w:p>
      <w:r>
        <w:br w:type="page"/>
      </w:r>
    </w:p>
    <w:p>
      <w:pPr>
        <w:pStyle w:val="Heading1"/>
      </w:pPr>
      <w:r>
        <w:t>Selected Notes and Bibliography</w:t>
      </w:r>
    </w:p>
    <w:p>
      <w:pPr>
        <w:spacing w:before="40" w:after="240"/>
        <w:pBdr>
          <w:bottom w:val="single" w:sz="18" w:space="1" w:color="176536"/>
        </w:pBdr>
      </w:pPr>
    </w:p>
    <w:p>
      <w:pPr>
        <w:pStyle w:val="Heading2"/>
      </w:pPr>
      <w:r>
        <w:t>Primary Sources</w:t>
      </w:r>
    </w:p>
    <w:p>
      <w:pPr>
        <w:pStyle w:val="ListBullet"/>
        <w:spacing w:after="60" w:line="245" w:lineRule="auto"/>
        <w:ind w:left="403" w:hanging="230"/>
      </w:pPr>
      <w:r>
        <w:t>Augustine. The City of God. Especially Books XVII–XX and XX.29.</w:t>
      </w:r>
    </w:p>
    <w:p>
      <w:pPr>
        <w:pStyle w:val="ListBullet"/>
        <w:spacing w:after="60" w:line="245" w:lineRule="auto"/>
        <w:ind w:left="403" w:hanging="230"/>
      </w:pPr>
      <w:r>
        <w:t>Calvin, John. Commentaries on the Epistle of Paul the Apostle to the Romans. See Romans 11.</w:t>
      </w:r>
    </w:p>
    <w:p>
      <w:pPr>
        <w:pStyle w:val="ListBullet"/>
        <w:spacing w:after="60" w:line="245" w:lineRule="auto"/>
        <w:ind w:left="403" w:hanging="230"/>
      </w:pPr>
      <w:r>
        <w:t>Calvin, John. Institutes of the Christian Religion.</w:t>
      </w:r>
    </w:p>
    <w:p>
      <w:pPr>
        <w:pStyle w:val="ListBullet"/>
        <w:spacing w:after="60" w:line="245" w:lineRule="auto"/>
        <w:ind w:left="403" w:hanging="230"/>
      </w:pPr>
      <w:r>
        <w:t>Darby, John Nelson. The Hopes of the Church of God and collected writings on the church and prophecy.</w:t>
      </w:r>
    </w:p>
    <w:p>
      <w:pPr>
        <w:pStyle w:val="ListBullet"/>
        <w:spacing w:after="60" w:line="245" w:lineRule="auto"/>
        <w:ind w:left="403" w:hanging="230"/>
      </w:pPr>
      <w:r>
        <w:t>Ignatius of Antioch. Letters.</w:t>
      </w:r>
    </w:p>
    <w:p>
      <w:pPr>
        <w:pStyle w:val="ListBullet"/>
        <w:spacing w:after="60" w:line="245" w:lineRule="auto"/>
        <w:ind w:left="403" w:hanging="230"/>
      </w:pPr>
      <w:r>
        <w:t>Lake, Kirsopp, ed. The Apostolic Fathers. 2 vols. Loeb Classical Library. Harvard University Press, 1912–1913.</w:t>
      </w:r>
    </w:p>
    <w:p>
      <w:pPr>
        <w:pStyle w:val="ListBullet"/>
        <w:spacing w:after="60" w:line="245" w:lineRule="auto"/>
        <w:ind w:left="403" w:hanging="230"/>
      </w:pPr>
      <w:r>
        <w:t>Luther, Martin. Lectures on Romans.</w:t>
      </w:r>
    </w:p>
    <w:p>
      <w:pPr>
        <w:pStyle w:val="ListBullet"/>
        <w:spacing w:after="60" w:line="245" w:lineRule="auto"/>
        <w:ind w:left="403" w:hanging="230"/>
      </w:pPr>
      <w:r>
        <w:t>Luther, Martin. On the Jews and Their Lies.</w:t>
      </w:r>
    </w:p>
    <w:p>
      <w:pPr>
        <w:pStyle w:val="ListBullet"/>
        <w:spacing w:after="60" w:line="245" w:lineRule="auto"/>
        <w:ind w:left="403" w:hanging="230"/>
      </w:pPr>
      <w:r>
        <w:t>Origen. On First Principles. Especially Book IV.</w:t>
      </w:r>
    </w:p>
    <w:p>
      <w:pPr>
        <w:pStyle w:val="ListBullet"/>
        <w:spacing w:after="60" w:line="245" w:lineRule="auto"/>
        <w:ind w:left="403" w:hanging="230"/>
      </w:pPr>
      <w:r>
        <w:t>Origen. Commentary on the Epistle to the Romans. Translated by Thomas P. Scheck. 2 vols. Catholic University of America Press, 2001–2002.</w:t>
      </w:r>
    </w:p>
    <w:p>
      <w:pPr>
        <w:pStyle w:val="ListBullet"/>
        <w:spacing w:after="60" w:line="245" w:lineRule="auto"/>
        <w:ind w:left="403" w:hanging="230"/>
      </w:pPr>
      <w:r>
        <w:t>Scofield, C. I., ed. The Scofield Reference Bible. Oxford University Press, 1909.</w:t>
      </w:r>
    </w:p>
    <w:p>
      <w:pPr>
        <w:pStyle w:val="ListBullet"/>
        <w:spacing w:after="60" w:line="245" w:lineRule="auto"/>
        <w:ind w:left="403" w:hanging="230"/>
      </w:pPr>
      <w:r>
        <w:t>Thomas Aquinas. Commentary on the Letter of Saint Paul to the Ephesians.</w:t>
      </w:r>
    </w:p>
    <w:p>
      <w:pPr>
        <w:pStyle w:val="ListBullet"/>
        <w:spacing w:after="60" w:line="245" w:lineRule="auto"/>
        <w:ind w:left="403" w:hanging="230"/>
      </w:pPr>
      <w:r>
        <w:t>Thomas Aquinas. Commentary on the Letter of Saint Paul to the Romans.</w:t>
      </w:r>
    </w:p>
    <w:p>
      <w:pPr>
        <w:pStyle w:val="Heading2"/>
      </w:pPr>
      <w:r>
        <w:t>Selected Secondary Works</w:t>
      </w:r>
    </w:p>
    <w:p>
      <w:pPr>
        <w:pStyle w:val="ListBullet"/>
        <w:spacing w:after="60" w:line="245" w:lineRule="auto"/>
        <w:ind w:left="403" w:hanging="230"/>
      </w:pPr>
      <w:r>
        <w:t>Blaising, Craig A., and Darrell L. Bock. Progressive Dispensationalism. BridgePoint, 1993.</w:t>
      </w:r>
    </w:p>
    <w:p>
      <w:pPr>
        <w:pStyle w:val="ListBullet"/>
        <w:spacing w:after="60" w:line="245" w:lineRule="auto"/>
        <w:ind w:left="403" w:hanging="230"/>
      </w:pPr>
      <w:r>
        <w:t>Caragounis, Chrys C. The Ephesian Mysterion. Gleerup, 1977.</w:t>
      </w:r>
    </w:p>
    <w:p>
      <w:pPr>
        <w:pStyle w:val="ListBullet"/>
        <w:spacing w:after="60" w:line="245" w:lineRule="auto"/>
        <w:ind w:left="403" w:hanging="230"/>
      </w:pPr>
      <w:r>
        <w:t>de Lubac, Henri. History and Spirit: The Understanding of Scripture According to Origen. Ignatius Press, 2007.</w:t>
      </w:r>
    </w:p>
    <w:p>
      <w:pPr>
        <w:pStyle w:val="ListBullet"/>
        <w:spacing w:after="60" w:line="245" w:lineRule="auto"/>
        <w:ind w:left="403" w:hanging="230"/>
      </w:pPr>
      <w:r>
        <w:t>de Lubac, Henri. Medieval Exegesis. 4 vols. Eerdmans, 1998–2009.</w:t>
      </w:r>
    </w:p>
    <w:p>
      <w:pPr>
        <w:pStyle w:val="ListBullet"/>
        <w:spacing w:after="60" w:line="245" w:lineRule="auto"/>
        <w:ind w:left="403" w:hanging="230"/>
      </w:pPr>
      <w:r>
        <w:t>Fredriksen, Paula. Augustine and the Jews. Yale University Press, 2010.</w:t>
      </w:r>
    </w:p>
    <w:p>
      <w:pPr>
        <w:pStyle w:val="ListBullet"/>
        <w:spacing w:after="60" w:line="245" w:lineRule="auto"/>
        <w:ind w:left="403" w:hanging="230"/>
      </w:pPr>
      <w:r>
        <w:t>Hanson, R. P. C. Allegory and Event. Westminster John Knox Press, 2002.</w:t>
      </w:r>
    </w:p>
    <w:p>
      <w:pPr>
        <w:pStyle w:val="ListBullet"/>
        <w:spacing w:after="60" w:line="245" w:lineRule="auto"/>
        <w:ind w:left="403" w:hanging="230"/>
      </w:pPr>
      <w:r>
        <w:t>Murray, Iain H. The Puritan Hope. Banner of Truth, 1971.</w:t>
      </w:r>
    </w:p>
    <w:p>
      <w:pPr>
        <w:pStyle w:val="ListBullet"/>
        <w:spacing w:after="60" w:line="245" w:lineRule="auto"/>
        <w:ind w:left="403" w:hanging="230"/>
      </w:pPr>
      <w:r>
        <w:t>Ryrie, Charles C. Dispensationalism. Rev. ed. Moody Press, 1995.</w:t>
      </w:r>
    </w:p>
    <w:p>
      <w:pPr>
        <w:pStyle w:val="ListBullet"/>
        <w:spacing w:after="60" w:line="245" w:lineRule="auto"/>
        <w:ind w:left="403" w:hanging="230"/>
      </w:pPr>
      <w:r>
        <w:t>Saucy, Robert L. The Case for Progressive Dispensationalism. Zondervan, 1993.</w:t>
      </w:r>
    </w:p>
    <w:p>
      <w:pPr>
        <w:pStyle w:val="ListBullet"/>
        <w:spacing w:after="60" w:line="245" w:lineRule="auto"/>
        <w:ind w:left="403" w:hanging="230"/>
      </w:pPr>
      <w:r>
        <w:t>Stunt, Timothy C. F. From Awakening to Secession. T&amp;T Clark, 2000.</w:t>
      </w:r>
    </w:p>
    <w:p>
      <w:pPr>
        <w:pStyle w:val="Heading2"/>
      </w:pPr>
      <w:r>
        <w:t>Editorial Note</w:t>
      </w:r>
    </w:p>
    <w:p>
      <w:r>
        <w:t>This resource is an introductory synthesis, not a comprehensive history of doctrine. Citations identify representative primary and secondary sources for further study. Readers should consult critical editions and full contexts before making detailed claims about any historical writer. Dates, authorship, influence, and terminology remain disputed in several areas.</w:t>
      </w:r>
    </w:p>
    <w:p>
      <w:r>
        <w:br w:type="page"/>
      </w:r>
    </w:p>
    <w:p>
      <w:pPr>
        <w:pStyle w:val="Heading1"/>
      </w:pPr>
      <w:r>
        <w:t>Continue Your Study</w:t>
      </w:r>
    </w:p>
    <w:p>
      <w:pPr>
        <w:spacing w:before="40" w:after="240"/>
        <w:pBdr>
          <w:bottom w:val="single" w:sz="18" w:space="1" w:color="176536"/>
        </w:pBdr>
      </w:pPr>
    </w:p>
    <w:p>
      <w:r>
        <w:t>Historical Drift is designed as a bridge. It explains why Pauline distinctions became unfamiliar; the following Zay-Marie Press resources examine the biblical architecture itself.</w:t>
      </w:r>
    </w:p>
    <w:p>
      <w:pPr>
        <w:pStyle w:val="Heading2"/>
      </w:pPr>
      <w:r>
        <w:t>Recommended Digital Studies</w:t>
      </w:r>
    </w:p>
    <w:p>
      <w:pPr>
        <w:pStyle w:val="ListBullet"/>
        <w:spacing w:after="60" w:line="245" w:lineRule="auto"/>
        <w:ind w:left="403" w:hanging="230"/>
      </w:pPr>
      <w:r>
        <w:t>Study 4  Israel and the Body of Christ</w:t>
      </w:r>
    </w:p>
    <w:p>
      <w:pPr>
        <w:pStyle w:val="ListBullet"/>
        <w:spacing w:after="60" w:line="245" w:lineRule="auto"/>
        <w:ind w:left="403" w:hanging="230"/>
      </w:pPr>
      <w:r>
        <w:t>Study 6  The Mystery Revealed Through Paul</w:t>
      </w:r>
    </w:p>
    <w:p>
      <w:pPr>
        <w:pStyle w:val="ListBullet"/>
        <w:spacing w:after="60" w:line="245" w:lineRule="auto"/>
        <w:ind w:left="403" w:hanging="230"/>
      </w:pPr>
      <w:r>
        <w:t>Study 13  The Olive Tree and the Body of Christ</w:t>
      </w:r>
    </w:p>
    <w:p>
      <w:pPr>
        <w:pStyle w:val="ListBullet"/>
        <w:spacing w:after="60" w:line="245" w:lineRule="auto"/>
        <w:ind w:left="403" w:hanging="230"/>
      </w:pPr>
      <w:r>
        <w:t>Study 14  Acts 9 and the Beginning of Mystery</w:t>
      </w:r>
    </w:p>
    <w:p>
      <w:pPr>
        <w:pStyle w:val="ListBullet"/>
        <w:spacing w:after="60" w:line="245" w:lineRule="auto"/>
        <w:ind w:left="403" w:hanging="230"/>
      </w:pPr>
      <w:r>
        <w:t>Study 17  The Abrahamic Covenant</w:t>
      </w:r>
    </w:p>
    <w:p>
      <w:pPr>
        <w:pStyle w:val="ListBullet"/>
        <w:spacing w:after="60" w:line="245" w:lineRule="auto"/>
        <w:ind w:left="403" w:hanging="230"/>
      </w:pPr>
      <w:r>
        <w:t>Study 18  Peter and Paul Distinct Apostolic Commissions</w:t>
      </w:r>
    </w:p>
    <w:p>
      <w:pPr>
        <w:pStyle w:val="ListBullet"/>
        <w:spacing w:after="60" w:line="245" w:lineRule="auto"/>
        <w:ind w:left="403" w:hanging="230"/>
      </w:pPr>
      <w:r>
        <w:t>Study 19  The Jerusalem Council</w:t>
      </w:r>
    </w:p>
    <w:p>
      <w:pPr>
        <w:pStyle w:val="ListBullet"/>
        <w:spacing w:after="60" w:line="245" w:lineRule="auto"/>
        <w:ind w:left="403" w:hanging="230"/>
      </w:pPr>
      <w:r>
        <w:t>Study 21  Israel’s Judicial Blinding</w:t>
      </w:r>
    </w:p>
    <w:p>
      <w:pPr>
        <w:pStyle w:val="ListBullet"/>
        <w:spacing w:after="60" w:line="245" w:lineRule="auto"/>
        <w:ind w:left="403" w:hanging="230"/>
      </w:pPr>
      <w:r>
        <w:t>Study 23  The 144000</w:t>
      </w:r>
    </w:p>
    <w:p>
      <w:pPr>
        <w:pStyle w:val="ListBullet"/>
        <w:spacing w:after="60" w:line="245" w:lineRule="auto"/>
        <w:ind w:left="403" w:hanging="230"/>
      </w:pPr>
      <w:r>
        <w:t>Study 25  The Signs That Followed</w:t>
      </w:r>
    </w:p>
    <w:p>
      <w:pPr>
        <w:pStyle w:val="Heading2"/>
      </w:pPr>
      <w:r>
        <w:t>For a Complete Framework</w:t>
      </w:r>
    </w:p>
    <w:p>
      <w:r>
        <w:t>The Full Framework presents the integrated doctrine of the Acts Overlap model. The Biblical Hermeneutics Course develops the method of establishing meaning, determining assignment, and making responsible application. Visit zaymariepress.com to explore the current catalog and free Resource Library.</w:t>
      </w:r>
    </w:p>
    <w:sectPr w:rsidR="00FC693F" w:rsidRPr="0006063C" w:rsidSect="00034616">
      <w:footerReference w:type="default" r:id="rId9"/>
      <w:headerReference w:type="default" r:id="rId10"/>
      <w:pgSz w:w="12240" w:h="15840"/>
      <w:pgMar w:top="1037" w:right="1181" w:bottom="965" w:left="1181" w:header="432"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color w:val="667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Montserrat" w:hAnsi="Montserrat"/>
        <w:b/>
        <w:color w:val="7B847D"/>
        <w:sz w:val="15"/>
      </w:rPr>
      <w:t>HISTORICAL DRIFT  |  ZAY-MARIE PRESS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EB Garamond" w:hAnsi="EB Garamond"/>
      <w:color w:val="2028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Montserrat" w:hAnsi="Montserrat"/>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Montserrat" w:hAnsi="Montserrat"/>
      <w:b/>
      <w:bCs/>
      <w:color w:val="0B2748"/>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Montserrat" w:hAnsi="Montserrat"/>
      <w:b/>
      <w:bCs/>
      <w:color w:val="17653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Montserrat" w:hAnsi="Montserrat"/>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Montserrat" w:hAnsi="Montserrat"/>
      <w:b/>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160"/>
    </w:pPr>
    <w:rPr>
      <w:rFonts w:ascii="EB Garamond" w:hAnsi="EB Garamond"/>
      <w:i/>
      <w:color w:val="4E5A5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Drift How the Church Lost Sight of Pauline Distinctions</dc:title>
  <dc:subject>A historical and theological introduction to Pauline distinctions and Acts Overlap Theology</dc:subject>
  <dc:creator>Alexander S. Marien</dc:creator>
  <cp:keywords>Pauline distinctions, Acts Overlap Theology, Israel, Body of Christ, church history, dispensationalism</cp:keywords>
  <dc:description>Published by Zay-Marie Press as a free resource</dc:description>
  <cp:lastModifiedBy/>
  <cp:revision>1</cp:revision>
  <dcterms:created xsi:type="dcterms:W3CDTF">2013-12-23T23:15:00Z</dcterms:created>
  <dcterms:modified xsi:type="dcterms:W3CDTF">2013-12-23T23:15:00Z</dcterms:modified>
  <cp:category/>
</cp:coreProperties>
</file>