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lastRenderedPageBreak/>
        <w:t xml:space="preserve">Both messages rest on the </w:t>
      </w:r>
      <w:r w:rsidRPr="003554E3">
        <w:rPr>
          <w:b/>
          <w:bCs/>
        </w:rPr>
        <w:t xml:space="preserve">finished work of </w:t>
      </w:r>
      <w:proofErr w:type="gramStart"/>
      <w:r w:rsidRPr="003554E3">
        <w:rPr>
          <w:b/>
          <w:bCs/>
        </w:rPr>
        <w:t>Christ</w:t>
      </w:r>
      <w:r w:rsidRPr="003554E3">
        <w:t>, but</w:t>
      </w:r>
      <w:proofErr w:type="gramEnd"/>
      <w:r w:rsidRPr="003554E3">
        <w:t xml:space="preserve"> differ in </w:t>
      </w:r>
      <w:r w:rsidRPr="003554E3">
        <w:rPr>
          <w:b/>
          <w:bCs/>
        </w:rPr>
        <w:t>content of faith</w:t>
      </w:r>
      <w:r w:rsidRPr="003554E3">
        <w:t xml:space="preserve"> and </w:t>
      </w:r>
      <w:r w:rsidRPr="003554E3">
        <w:rPr>
          <w:b/>
          <w:bCs/>
        </w:rPr>
        <w:t>programmatic audience</w:t>
      </w:r>
      <w:r w:rsidRPr="003554E3">
        <w:t>.</w:t>
      </w:r>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Always the grace of God and the finished work of Christ.</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 xml:space="preserve">Both messages rest on the </w:t>
      </w:r>
      <w:r w:rsidRPr="00411BC9">
        <w:rPr>
          <w:b/>
          <w:bCs/>
        </w:rPr>
        <w:t xml:space="preserve">finished work of </w:t>
      </w:r>
      <w:proofErr w:type="gramStart"/>
      <w:r w:rsidRPr="00411BC9">
        <w:rPr>
          <w:b/>
          <w:bCs/>
        </w:rPr>
        <w:t>Christ</w:t>
      </w:r>
      <w:r w:rsidRPr="00411BC9">
        <w:t>, but</w:t>
      </w:r>
      <w:proofErr w:type="gramEnd"/>
      <w:r w:rsidRPr="00411BC9">
        <w:t xml:space="preserve"> differ in </w:t>
      </w:r>
      <w:r w:rsidRPr="00411BC9">
        <w:rPr>
          <w:b/>
          <w:bCs/>
        </w:rPr>
        <w:t>content of faith</w:t>
      </w:r>
      <w:r w:rsidRPr="00411BC9">
        <w:t xml:space="preserve"> and </w:t>
      </w:r>
      <w:r w:rsidRPr="00411BC9">
        <w:rPr>
          <w:b/>
          <w:bCs/>
        </w:rPr>
        <w:t>programmatic audience</w:t>
      </w:r>
      <w:r w:rsidRPr="00411BC9">
        <w:t>.</w:t>
      </w:r>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Always the grace of God and the finished work of Christ.</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anchoring sentence is used where the book is first treated: “The Framework does not assign [book] as a book; this reading rests on the letter’s own audience markers and setting.”</w:t>
      </w:r>
    </w:p>
    <w:p>
      <w:pPr>
        <w:numPr>
          <w:ilvl w:val="0"/>
          <w:numId w:val="3"/>
        </w:numPr>
      </w:pPr>
      <w:r>
        <w:t>Hebrews is read within Israel’s Prophecy line for covenant context, with the verbatim sentence: “The Framework does not assign Hebrews as a book; this reading rests on the letter’s own audience markers and on the Framework’s ruling that the New Covenant it quotes (Jeremiah 31:31–34)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11–17.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must include the anchoring sentence: “The Framework does not assign this book; this reading rests on the passage’s own audience markers and setting.” This extends Rule 8 to every unassigned book or passage that Rule 8 does not name. Rule 8’s own sentences for the books it names (including the verbatim Hebrews sentence) and the established 1 Peter and 1 John wording continue to apply where those books are treated. Using an unassigned text for a universal truth is not a program assignment of the book.</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