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1.44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(v1.44): Amends Section 20, Rule 12, at the publisher’s direction (2026-10-02): adds the anchor-wording classification. A book the PAM does not assign or list takes “The Framework does not assign [book] as a book; this reading rests on the letter’s own audience markers and setting.”; a passage inside a PAM-assigned book with no PAM entry takes “The PAM makes no assignment for this passage; this reading rests on the passage’s own audience markers and setting.” First applied to Study 51. Written into the Framework Rule 12 in the same pass. All other sections carry forward unchanged from v1.43.</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Studies 1–51 are not reopened or retrofitted for it and remain as published; an earlier study moves to it only if the publisher directs.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9 pt: body paragraphs, numbered subsection lines, lists, table body text, Table of Contents entries and the footer.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(six process-worded points);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pPr/>
      <w:r>
        <w:rPr/>
        <w:t>Anchor wording by classification (publisher directive, 2026-10-02). Three cases, three fixed sentences. (1) A book the PAM does not assign or list (for example Philippians, Hebrews, James, 1 Peter, 2 John): “The Framework does not assign [book] as a book; this reading rests on the letter’s own audience markers and setting.” (2) A passage inside a PAM-assigned book (for example Galatians, Romans, Ephesians, 1 and 2 Corinthians, Acts, John, Luke) for which the PAM has no entry: “The PAM makes no assignment for this passage; this reading rests on the passage’s own audience markers and setting.” (plural form “these passages … the passages’ own audience markers and setting” where a line covers more than one passage). (3) Where Rule 12 applies to an unassigned book or passage not covered by (1) or (2), the Rule 12 sentence stands. The wording in (2) does not imply that the passage has a hidden or missing assignment; PAM assignment governs program identity, and an unlisted passage is read from its own audience and setting. Applied when a study is reopened; first applied to Study 51 (Galatians 5:2–6, 6:12–15; Romans 2:28–29, 3:29–30, 4:9–12, 6:3–6).</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“Firewall,” “Olive Tree Firewall” and similar control labels are internal drafting terms for Claude and are never used in study text, website copy or Doctrinal Packets. A study states the boundaries in plain language, for example “Four boundaries govern the reading:” (or “These boundaries govern the reading:”), followed by the boundaries themselves. Any term in a study that the study has not itself introduced and defined is treated the same way. The rule is applied when a study is reopened;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pPr>
        <w:pStyle w:val="Heading1"/>
      </w:pPr>
      <w:r>
        <w:t>21. Locked Status</w:t>
      </w:r>
    </w:p>
    <w:p>
      <w:pPr/>
      <w:r>
        <w:rPr>
          <w:b/>
        </w:rPr>
        <w:t>STATUS: APPROVED AND LOCKED — DIGITAL STUDIES MASTER STANDARD v1.44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