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03E21" w14:textId="1F985B26" w:rsidR="00B51D65" w:rsidRDefault="00B51D65" w:rsidP="00BB56DA">
      <w:pPr>
        <w:pStyle w:val="Heading1"/>
        <w:rPr>
          <w:rFonts w:cs="Clear Sans"/>
        </w:rPr>
      </w:pPr>
      <w:r>
        <w:rPr>
          <w:rFonts w:cs="Clear Sans"/>
          <w:noProof/>
        </w:rPr>
        <w:drawing>
          <wp:anchor distT="0" distB="0" distL="114300" distR="114300" simplePos="0" relativeHeight="251658240" behindDoc="1" locked="0" layoutInCell="1" allowOverlap="1" wp14:anchorId="32ED9673" wp14:editId="5D210E9D">
            <wp:simplePos x="0" y="0"/>
            <wp:positionH relativeFrom="column">
              <wp:posOffset>4599940</wp:posOffset>
            </wp:positionH>
            <wp:positionV relativeFrom="paragraph">
              <wp:posOffset>146685</wp:posOffset>
            </wp:positionV>
            <wp:extent cx="1850400" cy="6048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ii logo.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0400" cy="604800"/>
                    </a:xfrm>
                    <a:prstGeom prst="rect">
                      <a:avLst/>
                    </a:prstGeom>
                  </pic:spPr>
                </pic:pic>
              </a:graphicData>
            </a:graphic>
            <wp14:sizeRelH relativeFrom="margin">
              <wp14:pctWidth>0</wp14:pctWidth>
            </wp14:sizeRelH>
            <wp14:sizeRelV relativeFrom="margin">
              <wp14:pctHeight>0</wp14:pctHeight>
            </wp14:sizeRelV>
          </wp:anchor>
        </w:drawing>
      </w:r>
    </w:p>
    <w:p w14:paraId="4BED5EB6" w14:textId="6D6B86F4" w:rsidR="0046112C" w:rsidRPr="0046112C" w:rsidRDefault="00DF3FFB" w:rsidP="0046112C">
      <w:pPr>
        <w:pStyle w:val="Heading1"/>
        <w:pBdr>
          <w:bottom w:val="single" w:sz="12" w:space="1" w:color="auto"/>
        </w:pBdr>
        <w:rPr>
          <w:rFonts w:cs="Clear Sans"/>
        </w:rPr>
      </w:pPr>
      <w:r w:rsidRPr="00270F1D">
        <w:rPr>
          <w:rFonts w:cs="Clear Sans"/>
        </w:rPr>
        <w:t>Background Information</w:t>
      </w:r>
    </w:p>
    <w:p w14:paraId="4B6F4041" w14:textId="77777777" w:rsidR="00DF3FFB" w:rsidRPr="00270F1D" w:rsidRDefault="00FA682B" w:rsidP="00F43524">
      <w:pPr>
        <w:rPr>
          <w:rFonts w:ascii="Clear Sans" w:hAnsi="Clear Sans" w:cs="Clear Sans"/>
        </w:rPr>
      </w:pPr>
      <w:r w:rsidRPr="00270F1D">
        <w:rPr>
          <w:rFonts w:ascii="Clear Sans" w:hAnsi="Clear Sans" w:cs="Clear Sans"/>
        </w:rPr>
        <w:t>T</w:t>
      </w:r>
      <w:r w:rsidR="00DF3FFB" w:rsidRPr="00270F1D">
        <w:rPr>
          <w:rFonts w:ascii="Clear Sans" w:hAnsi="Clear Sans" w:cs="Clear Sans"/>
        </w:rPr>
        <w:t>h</w:t>
      </w:r>
      <w:r w:rsidRPr="00270F1D">
        <w:rPr>
          <w:rFonts w:ascii="Clear Sans" w:hAnsi="Clear Sans" w:cs="Clear Sans"/>
          <w:lang w:val="en-AU"/>
        </w:rPr>
        <w:t>is document explains the</w:t>
      </w:r>
      <w:r w:rsidR="00DF3FFB" w:rsidRPr="00270F1D">
        <w:rPr>
          <w:rFonts w:ascii="Clear Sans" w:hAnsi="Clear Sans" w:cs="Clear Sans"/>
        </w:rPr>
        <w:t xml:space="preserve"> general modelling principals, data sources, global parameters and caveats </w:t>
      </w:r>
      <w:r w:rsidRPr="00270F1D">
        <w:rPr>
          <w:rFonts w:ascii="Clear Sans" w:hAnsi="Clear Sans" w:cs="Clear Sans"/>
          <w:lang w:val="en-AU"/>
        </w:rPr>
        <w:t>of the scenario analysis tool</w:t>
      </w:r>
      <w:r w:rsidR="00DF3FFB" w:rsidRPr="00270F1D">
        <w:rPr>
          <w:rFonts w:ascii="Clear Sans" w:hAnsi="Clear Sans" w:cs="Clear Sans"/>
        </w:rPr>
        <w:t xml:space="preserve">. This will allow you to generate an understanding of the methodology, key features and parameters of the analysis </w:t>
      </w:r>
      <w:r w:rsidR="00CE1262" w:rsidRPr="00270F1D">
        <w:rPr>
          <w:rFonts w:ascii="Clear Sans" w:hAnsi="Clear Sans" w:cs="Clear Sans"/>
        </w:rPr>
        <w:t>and help</w:t>
      </w:r>
      <w:r w:rsidR="00DF3FFB" w:rsidRPr="00270F1D">
        <w:rPr>
          <w:rFonts w:ascii="Clear Sans" w:hAnsi="Clear Sans" w:cs="Clear Sans"/>
        </w:rPr>
        <w:t xml:space="preserve"> you to understand the</w:t>
      </w:r>
      <w:r w:rsidR="009A1AED" w:rsidRPr="00270F1D">
        <w:rPr>
          <w:rFonts w:ascii="Clear Sans" w:hAnsi="Clear Sans" w:cs="Clear Sans"/>
        </w:rPr>
        <w:t xml:space="preserve"> </w:t>
      </w:r>
      <w:r w:rsidR="00DF3FFB" w:rsidRPr="00270F1D">
        <w:rPr>
          <w:rFonts w:ascii="Clear Sans" w:hAnsi="Clear Sans" w:cs="Clear Sans"/>
        </w:rPr>
        <w:t>analysis results. A detailed description of the result interpretation, modelling principals and data used as well as a paper that presents the methodology and the underlying equations can be found in the </w:t>
      </w:r>
      <w:hyperlink r:id="rId9" w:history="1">
        <w:r w:rsidR="00DF3FFB" w:rsidRPr="00270F1D">
          <w:rPr>
            <w:rFonts w:ascii="Clear Sans" w:hAnsi="Clear Sans" w:cs="Clear Sans"/>
            <w:color w:val="0000FF"/>
            <w:u w:val="single"/>
          </w:rPr>
          <w:t>Publications</w:t>
        </w:r>
      </w:hyperlink>
      <w:r w:rsidR="00DF3FFB" w:rsidRPr="00270F1D">
        <w:rPr>
          <w:rFonts w:ascii="Clear Sans" w:hAnsi="Clear Sans" w:cs="Clear Sans"/>
        </w:rPr>
        <w:t> section (Paris Agreement Capital Transition Assessment Background Briefing and The alignment of global equity and corporate bonds markets with the Paris Agreement – A new accounting framework).</w:t>
      </w:r>
    </w:p>
    <w:p w14:paraId="688FF7BC" w14:textId="77777777" w:rsidR="00DF3FFB" w:rsidRPr="00270F1D" w:rsidRDefault="00DF3FFB" w:rsidP="00BB56DA">
      <w:pPr>
        <w:pStyle w:val="Heading3"/>
        <w:rPr>
          <w:rFonts w:cs="Clear Sans"/>
        </w:rPr>
      </w:pPr>
      <w:r w:rsidRPr="00270F1D">
        <w:rPr>
          <w:rFonts w:cs="Clear Sans"/>
        </w:rPr>
        <w:t>Modelling principles</w:t>
      </w:r>
    </w:p>
    <w:p w14:paraId="761FD07E" w14:textId="77777777" w:rsidR="00DF3FFB" w:rsidRPr="00270F1D" w:rsidRDefault="00DF3FFB" w:rsidP="00F43524">
      <w:pPr>
        <w:rPr>
          <w:rFonts w:ascii="Clear Sans" w:hAnsi="Clear Sans" w:cs="Clear Sans"/>
        </w:rPr>
      </w:pPr>
      <w:r w:rsidRPr="00270F1D">
        <w:rPr>
          <w:rFonts w:ascii="Clear Sans" w:hAnsi="Clear Sans" w:cs="Clear Sans"/>
        </w:rPr>
        <w:t>The following briefly summarizes the key modelling principles:</w:t>
      </w:r>
    </w:p>
    <w:p w14:paraId="3D8E72E0" w14:textId="065D4315" w:rsidR="00DF3FFB" w:rsidRPr="00270F1D" w:rsidRDefault="00DF3FFB" w:rsidP="00F43524">
      <w:pPr>
        <w:pStyle w:val="ListParagraph"/>
        <w:numPr>
          <w:ilvl w:val="0"/>
          <w:numId w:val="16"/>
        </w:numPr>
        <w:rPr>
          <w:rFonts w:cs="Clear Sans"/>
        </w:rPr>
      </w:pPr>
      <w:r w:rsidRPr="00270F1D">
        <w:rPr>
          <w:rFonts w:cs="Clear Sans"/>
        </w:rPr>
        <w:t xml:space="preserve">The model calculates the expected benchmark exposure for each technology in the specific asset class by taking the current exposure in the respective asset class and geography and adding the trend line as defined in the scenario (e.g. </w:t>
      </w:r>
      <w:r w:rsidR="009A1AED" w:rsidRPr="00270F1D">
        <w:rPr>
          <w:rFonts w:cs="Clear Sans"/>
        </w:rPr>
        <w:t>the IEA´s 2°C compatible sustainable development scenario</w:t>
      </w:r>
      <w:r w:rsidRPr="00270F1D">
        <w:rPr>
          <w:rFonts w:cs="Clear Sans"/>
        </w:rPr>
        <w:t xml:space="preserve">). The build-out percentages take a simple </w:t>
      </w:r>
      <w:r w:rsidR="00B406DF">
        <w:rPr>
          <w:rFonts w:cs="Clear Sans"/>
        </w:rPr>
        <w:t>“</w:t>
      </w:r>
      <w:r w:rsidRPr="00270F1D">
        <w:rPr>
          <w:rFonts w:cs="Clear Sans"/>
        </w:rPr>
        <w:t>fair share principle</w:t>
      </w:r>
      <w:r w:rsidR="009A1AED" w:rsidRPr="00270F1D">
        <w:rPr>
          <w:rFonts w:cs="Clear Sans"/>
        </w:rPr>
        <w:t>“</w:t>
      </w:r>
      <w:r w:rsidRPr="00270F1D">
        <w:rPr>
          <w:rFonts w:cs="Clear Sans"/>
        </w:rPr>
        <w:t xml:space="preserve"> under which the companies in the investable universe are assumed to adjust production capacity in line with the scenario, consistent with their market share;</w:t>
      </w:r>
    </w:p>
    <w:p w14:paraId="1CD9D405" w14:textId="46969F7D" w:rsidR="00DF3FFB" w:rsidRPr="00270F1D" w:rsidRDefault="00DF3FFB" w:rsidP="00F43524">
      <w:pPr>
        <w:pStyle w:val="ListParagraph"/>
        <w:numPr>
          <w:ilvl w:val="0"/>
          <w:numId w:val="16"/>
        </w:numPr>
        <w:rPr>
          <w:rFonts w:cs="Clear Sans"/>
        </w:rPr>
      </w:pPr>
      <w:r w:rsidRPr="00270F1D">
        <w:rPr>
          <w:rFonts w:cs="Clear Sans"/>
        </w:rPr>
        <w:t>The model assesses the scenario alignment of financial portfo</w:t>
      </w:r>
      <w:r w:rsidR="001E7806">
        <w:rPr>
          <w:rFonts w:cs="Clear Sans"/>
        </w:rPr>
        <w:t>lios with a 5-year time horizon/</w:t>
      </w:r>
      <w:r w:rsidRPr="00270F1D">
        <w:rPr>
          <w:rFonts w:cs="Clear Sans"/>
        </w:rPr>
        <w:t>forecast period. The time horizon is limited to the time horizon of capital expenditure planning for which data can be tracked at a meaningful level. While this time horizon may differ across sectors, a homogenous time horizon is taken to allow for the comparability of results;</w:t>
      </w:r>
    </w:p>
    <w:p w14:paraId="55DEF84F" w14:textId="09F37C9E" w:rsidR="00DF3FFB" w:rsidRPr="00270F1D" w:rsidRDefault="00DF3FFB" w:rsidP="00F43524">
      <w:pPr>
        <w:pStyle w:val="ListParagraph"/>
        <w:numPr>
          <w:ilvl w:val="0"/>
          <w:numId w:val="16"/>
        </w:numPr>
        <w:rPr>
          <w:rFonts w:cs="Clear Sans"/>
        </w:rPr>
      </w:pPr>
      <w:r w:rsidRPr="00270F1D">
        <w:rPr>
          <w:rFonts w:cs="Clear Sans"/>
        </w:rPr>
        <w:t xml:space="preserve">The model applies traditional financial accounting principles, notably where possible the equity share principle (e.g. 1% ownership of a company assumes 1% ownership of assets). Where data is not available, the majority owner is allocated 100% of the </w:t>
      </w:r>
      <w:r w:rsidR="00FA682B" w:rsidRPr="00270F1D">
        <w:rPr>
          <w:rFonts w:cs="Clear Sans"/>
          <w:lang w:val="en-AU"/>
        </w:rPr>
        <w:t>ownership</w:t>
      </w:r>
      <w:r w:rsidRPr="00270F1D">
        <w:rPr>
          <w:rFonts w:cs="Clear Sans"/>
        </w:rPr>
        <w:t>. </w:t>
      </w:r>
    </w:p>
    <w:p w14:paraId="1FE4BCFA" w14:textId="12023280" w:rsidR="00DF3FFB" w:rsidRPr="00270F1D" w:rsidRDefault="00DF3FFB" w:rsidP="00BB56DA">
      <w:pPr>
        <w:pStyle w:val="Heading3"/>
        <w:rPr>
          <w:rFonts w:cs="Clear Sans"/>
        </w:rPr>
      </w:pPr>
      <w:r w:rsidRPr="00270F1D">
        <w:rPr>
          <w:rFonts w:cs="Clear Sans"/>
        </w:rPr>
        <w:t>Global Parameter</w:t>
      </w:r>
      <w:r w:rsidR="00B205F4">
        <w:rPr>
          <w:rFonts w:cs="Clear Sans"/>
        </w:rPr>
        <w:t>s</w:t>
      </w:r>
    </w:p>
    <w:p w14:paraId="2E11CE41" w14:textId="7A0CEFC3" w:rsidR="00D02D46" w:rsidRPr="00270F1D" w:rsidRDefault="00413771" w:rsidP="00F43524">
      <w:pPr>
        <w:rPr>
          <w:rFonts w:ascii="Clear Sans" w:hAnsi="Clear Sans" w:cs="Clear Sans"/>
        </w:rPr>
      </w:pPr>
      <w:r w:rsidRPr="00270F1D">
        <w:rPr>
          <w:rFonts w:ascii="Clear Sans" w:hAnsi="Clear Sans" w:cs="Clear Sans"/>
        </w:rPr>
        <w:t>The scenario analysis uses a general methodological framework which compares the technology build out plans with climate scenarios</w:t>
      </w:r>
      <w:r w:rsidR="009A1AED" w:rsidRPr="00270F1D">
        <w:rPr>
          <w:rFonts w:ascii="Clear Sans" w:hAnsi="Clear Sans" w:cs="Clear Sans"/>
        </w:rPr>
        <w:t xml:space="preserve"> as explained above</w:t>
      </w:r>
      <w:r w:rsidRPr="00270F1D">
        <w:rPr>
          <w:rFonts w:ascii="Clear Sans" w:hAnsi="Clear Sans" w:cs="Clear Sans"/>
        </w:rPr>
        <w:t>. While th</w:t>
      </w:r>
      <w:r w:rsidR="009A1AED" w:rsidRPr="00270F1D">
        <w:rPr>
          <w:rFonts w:ascii="Clear Sans" w:hAnsi="Clear Sans" w:cs="Clear Sans"/>
        </w:rPr>
        <w:t>is</w:t>
      </w:r>
      <w:r w:rsidRPr="00270F1D">
        <w:rPr>
          <w:rFonts w:ascii="Clear Sans" w:hAnsi="Clear Sans" w:cs="Clear Sans"/>
        </w:rPr>
        <w:t xml:space="preserve"> core methodology is set, there are several parameters that can be set to answer specific research questions.</w:t>
      </w:r>
      <w:r w:rsidR="00D02D46" w:rsidRPr="00270F1D">
        <w:rPr>
          <w:rFonts w:ascii="Clear Sans" w:hAnsi="Clear Sans" w:cs="Clear Sans"/>
        </w:rPr>
        <w:t xml:space="preserve"> </w:t>
      </w:r>
      <w:r w:rsidR="009A1AED" w:rsidRPr="00270F1D">
        <w:rPr>
          <w:rFonts w:ascii="Clear Sans" w:hAnsi="Clear Sans" w:cs="Clear Sans"/>
        </w:rPr>
        <w:t xml:space="preserve">The </w:t>
      </w:r>
      <w:r w:rsidR="00E43FA3">
        <w:rPr>
          <w:rFonts w:ascii="Clear Sans" w:hAnsi="Clear Sans" w:cs="Clear Sans"/>
        </w:rPr>
        <w:t>model</w:t>
      </w:r>
      <w:r w:rsidR="009A1AED" w:rsidRPr="00270F1D">
        <w:rPr>
          <w:rFonts w:ascii="Clear Sans" w:hAnsi="Clear Sans" w:cs="Clear Sans"/>
        </w:rPr>
        <w:t xml:space="preserve"> </w:t>
      </w:r>
      <w:r w:rsidR="00E43FA3">
        <w:rPr>
          <w:rFonts w:ascii="Clear Sans" w:hAnsi="Clear Sans" w:cs="Clear Sans"/>
        </w:rPr>
        <w:t>parameters that can be set include</w:t>
      </w:r>
      <w:r w:rsidR="009A1AED" w:rsidRPr="00270F1D">
        <w:rPr>
          <w:rFonts w:ascii="Clear Sans" w:hAnsi="Clear Sans" w:cs="Clear Sans"/>
        </w:rPr>
        <w:t>:</w:t>
      </w:r>
      <w:r w:rsidR="00D02D46" w:rsidRPr="00270F1D">
        <w:rPr>
          <w:rFonts w:ascii="Clear Sans" w:hAnsi="Clear Sans" w:cs="Clear Sans"/>
        </w:rPr>
        <w:t xml:space="preserve"> </w:t>
      </w:r>
    </w:p>
    <w:p w14:paraId="6479589E" w14:textId="1A4DD0CC" w:rsidR="00DF3FFB" w:rsidRPr="00270F1D" w:rsidRDefault="00CA79BA" w:rsidP="00F43524">
      <w:pPr>
        <w:pStyle w:val="ListParagraph"/>
        <w:numPr>
          <w:ilvl w:val="0"/>
          <w:numId w:val="17"/>
        </w:numPr>
        <w:rPr>
          <w:rFonts w:cs="Clear Sans"/>
        </w:rPr>
      </w:pPr>
      <w:r w:rsidRPr="00270F1D">
        <w:rPr>
          <w:rFonts w:cs="Clear Sans"/>
          <w:b/>
        </w:rPr>
        <w:t>S</w:t>
      </w:r>
      <w:r w:rsidR="00D02D46" w:rsidRPr="00270F1D">
        <w:rPr>
          <w:rFonts w:cs="Clear Sans"/>
          <w:b/>
        </w:rPr>
        <w:t>cenario</w:t>
      </w:r>
      <w:r w:rsidR="00D02D46" w:rsidRPr="00270F1D">
        <w:rPr>
          <w:rFonts w:cs="Clear Sans"/>
        </w:rPr>
        <w:t xml:space="preserve"> </w:t>
      </w:r>
      <w:r w:rsidR="00E43FA3">
        <w:rPr>
          <w:rFonts w:cs="Clear Sans"/>
        </w:rPr>
        <w:t>to compare</w:t>
      </w:r>
      <w:r w:rsidR="00D02D46" w:rsidRPr="00270F1D">
        <w:rPr>
          <w:rFonts w:cs="Clear Sans"/>
        </w:rPr>
        <w:t xml:space="preserve"> </w:t>
      </w:r>
      <w:r w:rsidR="00E43FA3">
        <w:rPr>
          <w:rFonts w:cs="Clear Sans"/>
        </w:rPr>
        <w:t>the portfolio</w:t>
      </w:r>
      <w:r w:rsidR="00D02D46" w:rsidRPr="00270F1D">
        <w:rPr>
          <w:rFonts w:cs="Clear Sans"/>
        </w:rPr>
        <w:t xml:space="preserve"> against t</w:t>
      </w:r>
      <w:r w:rsidR="00FA682B" w:rsidRPr="00270F1D">
        <w:rPr>
          <w:rFonts w:cs="Clear Sans"/>
        </w:rPr>
        <w:t>hat</w:t>
      </w:r>
      <w:r w:rsidR="00D02D46" w:rsidRPr="00270F1D">
        <w:rPr>
          <w:rFonts w:cs="Clear Sans"/>
        </w:rPr>
        <w:t xml:space="preserve"> reflect</w:t>
      </w:r>
      <w:r w:rsidR="00E43FA3">
        <w:rPr>
          <w:rFonts w:cs="Clear Sans"/>
        </w:rPr>
        <w:t>s</w:t>
      </w:r>
      <w:r w:rsidR="00D02D46" w:rsidRPr="00270F1D">
        <w:rPr>
          <w:rFonts w:cs="Clear Sans"/>
        </w:rPr>
        <w:t xml:space="preserve"> </w:t>
      </w:r>
      <w:r w:rsidR="00E43FA3">
        <w:rPr>
          <w:rFonts w:cs="Clear Sans"/>
        </w:rPr>
        <w:t xml:space="preserve">a specific </w:t>
      </w:r>
      <w:r w:rsidR="009A1AED" w:rsidRPr="00270F1D">
        <w:rPr>
          <w:rFonts w:cs="Clear Sans"/>
        </w:rPr>
        <w:t xml:space="preserve">decarbonization </w:t>
      </w:r>
      <w:r w:rsidR="00FA682B" w:rsidRPr="00270F1D">
        <w:rPr>
          <w:rFonts w:cs="Clear Sans"/>
        </w:rPr>
        <w:t xml:space="preserve">transition </w:t>
      </w:r>
      <w:r w:rsidR="009A1AED" w:rsidRPr="00270F1D">
        <w:rPr>
          <w:rFonts w:cs="Clear Sans"/>
        </w:rPr>
        <w:t xml:space="preserve">pathway and </w:t>
      </w:r>
      <w:r w:rsidR="00D02D46" w:rsidRPr="00270F1D">
        <w:rPr>
          <w:rFonts w:cs="Clear Sans"/>
        </w:rPr>
        <w:t>technology belief</w:t>
      </w:r>
      <w:r w:rsidR="000253D3">
        <w:rPr>
          <w:rFonts w:cs="Clear Sans"/>
        </w:rPr>
        <w:t>s</w:t>
      </w:r>
      <w:r w:rsidR="00D02D46" w:rsidRPr="00270F1D">
        <w:rPr>
          <w:rFonts w:cs="Clear Sans"/>
        </w:rPr>
        <w:t xml:space="preserve"> as </w:t>
      </w:r>
      <w:r w:rsidR="00FA682B" w:rsidRPr="00270F1D">
        <w:rPr>
          <w:rFonts w:cs="Clear Sans"/>
        </w:rPr>
        <w:t>accurately</w:t>
      </w:r>
      <w:r w:rsidR="00D02D46" w:rsidRPr="00270F1D">
        <w:rPr>
          <w:rFonts w:cs="Clear Sans"/>
        </w:rPr>
        <w:t xml:space="preserve"> as possible</w:t>
      </w:r>
      <w:r w:rsidR="00F43524" w:rsidRPr="00270F1D">
        <w:rPr>
          <w:rFonts w:cs="Clear Sans"/>
        </w:rPr>
        <w:t>;</w:t>
      </w:r>
    </w:p>
    <w:p w14:paraId="4B800FB2" w14:textId="122E3A81" w:rsidR="00D02D46" w:rsidRPr="00270F1D" w:rsidRDefault="00D02D46" w:rsidP="00F43524">
      <w:pPr>
        <w:pStyle w:val="ListParagraph"/>
        <w:numPr>
          <w:ilvl w:val="0"/>
          <w:numId w:val="17"/>
        </w:numPr>
        <w:rPr>
          <w:rFonts w:cs="Clear Sans"/>
        </w:rPr>
      </w:pPr>
      <w:r w:rsidRPr="00270F1D">
        <w:rPr>
          <w:rFonts w:cs="Clear Sans"/>
          <w:b/>
        </w:rPr>
        <w:t>Accounting principle</w:t>
      </w:r>
      <w:r w:rsidRPr="00270F1D">
        <w:rPr>
          <w:rFonts w:cs="Clear Sans"/>
        </w:rPr>
        <w:t xml:space="preserve"> </w:t>
      </w:r>
      <w:r w:rsidR="00C315AF">
        <w:rPr>
          <w:rFonts w:cs="Clear Sans"/>
        </w:rPr>
        <w:t xml:space="preserve">(or Allocation Method) </w:t>
      </w:r>
      <w:r w:rsidR="00693060">
        <w:rPr>
          <w:rFonts w:cs="Clear Sans"/>
        </w:rPr>
        <w:t xml:space="preserve">used to allocate build out plans to </w:t>
      </w:r>
      <w:r w:rsidR="00191472">
        <w:rPr>
          <w:rFonts w:cs="Clear Sans"/>
        </w:rPr>
        <w:t>the</w:t>
      </w:r>
      <w:r w:rsidR="00693060">
        <w:rPr>
          <w:rFonts w:cs="Clear Sans"/>
        </w:rPr>
        <w:t xml:space="preserve"> portfolio, </w:t>
      </w:r>
      <w:r w:rsidR="00F20F27">
        <w:rPr>
          <w:rFonts w:cs="Clear Sans"/>
        </w:rPr>
        <w:t>which determines</w:t>
      </w:r>
      <w:r w:rsidR="00616A8E">
        <w:rPr>
          <w:rFonts w:cs="Clear Sans"/>
        </w:rPr>
        <w:t xml:space="preserve"> whether </w:t>
      </w:r>
      <w:r w:rsidR="00F20F27">
        <w:rPr>
          <w:rFonts w:cs="Clear Sans"/>
        </w:rPr>
        <w:t xml:space="preserve">the </w:t>
      </w:r>
      <w:r w:rsidR="00616A8E">
        <w:rPr>
          <w:rFonts w:cs="Clear Sans"/>
        </w:rPr>
        <w:t>assessment is of the</w:t>
      </w:r>
      <w:r w:rsidR="00693060">
        <w:rPr>
          <w:rFonts w:cs="Clear Sans"/>
        </w:rPr>
        <w:t xml:space="preserve"> portfolio’s </w:t>
      </w:r>
      <w:r w:rsidRPr="00270F1D">
        <w:rPr>
          <w:rFonts w:cs="Clear Sans"/>
        </w:rPr>
        <w:t xml:space="preserve">contribution </w:t>
      </w:r>
      <w:r w:rsidR="00197940" w:rsidRPr="00270F1D">
        <w:rPr>
          <w:rFonts w:cs="Clear Sans"/>
          <w:i/>
        </w:rPr>
        <w:t>toward</w:t>
      </w:r>
      <w:r w:rsidR="00197940" w:rsidRPr="00270F1D">
        <w:rPr>
          <w:rFonts w:cs="Clear Sans"/>
        </w:rPr>
        <w:t xml:space="preserve"> the transition</w:t>
      </w:r>
      <w:r w:rsidR="00FA682B" w:rsidRPr="00270F1D">
        <w:rPr>
          <w:rFonts w:cs="Clear Sans"/>
        </w:rPr>
        <w:t xml:space="preserve"> (ownership approach)</w:t>
      </w:r>
      <w:r w:rsidR="00197940" w:rsidRPr="00270F1D">
        <w:rPr>
          <w:rFonts w:cs="Clear Sans"/>
        </w:rPr>
        <w:t xml:space="preserve"> or </w:t>
      </w:r>
      <w:r w:rsidR="00693060">
        <w:rPr>
          <w:rFonts w:cs="Clear Sans"/>
        </w:rPr>
        <w:t>the portfolio’s</w:t>
      </w:r>
      <w:r w:rsidR="00197940" w:rsidRPr="00270F1D">
        <w:rPr>
          <w:rFonts w:cs="Clear Sans"/>
        </w:rPr>
        <w:t xml:space="preserve"> </w:t>
      </w:r>
      <w:r w:rsidR="009A1AED" w:rsidRPr="00270F1D">
        <w:rPr>
          <w:rFonts w:cs="Clear Sans"/>
          <w:i/>
        </w:rPr>
        <w:t>exposure</w:t>
      </w:r>
      <w:r w:rsidR="009A1AED" w:rsidRPr="00270F1D">
        <w:rPr>
          <w:rFonts w:cs="Clear Sans"/>
        </w:rPr>
        <w:t xml:space="preserve"> to </w:t>
      </w:r>
      <w:r w:rsidR="00197940" w:rsidRPr="00270F1D">
        <w:rPr>
          <w:rFonts w:cs="Clear Sans"/>
        </w:rPr>
        <w:t>transition ris</w:t>
      </w:r>
      <w:r w:rsidR="00F43524" w:rsidRPr="00270F1D">
        <w:rPr>
          <w:rFonts w:cs="Clear Sans"/>
        </w:rPr>
        <w:t>k</w:t>
      </w:r>
      <w:r w:rsidR="00FA682B" w:rsidRPr="00270F1D">
        <w:rPr>
          <w:rFonts w:cs="Clear Sans"/>
        </w:rPr>
        <w:t xml:space="preserve"> (portfolio weight approach)</w:t>
      </w:r>
      <w:r w:rsidR="00F43524" w:rsidRPr="00270F1D">
        <w:rPr>
          <w:rFonts w:cs="Clear Sans"/>
        </w:rPr>
        <w:t>;</w:t>
      </w:r>
    </w:p>
    <w:p w14:paraId="1C2BEF8C" w14:textId="214E1FD6" w:rsidR="00197940" w:rsidRPr="00270F1D" w:rsidRDefault="00197940" w:rsidP="00F43524">
      <w:pPr>
        <w:pStyle w:val="ListParagraph"/>
        <w:numPr>
          <w:ilvl w:val="0"/>
          <w:numId w:val="17"/>
        </w:numPr>
        <w:rPr>
          <w:rFonts w:cs="Clear Sans"/>
        </w:rPr>
      </w:pPr>
      <w:r w:rsidRPr="00270F1D">
        <w:rPr>
          <w:rFonts w:cs="Clear Sans"/>
          <w:b/>
        </w:rPr>
        <w:t>Scenario geography</w:t>
      </w:r>
      <w:r w:rsidRPr="00270F1D">
        <w:rPr>
          <w:rFonts w:cs="Clear Sans"/>
        </w:rPr>
        <w:t xml:space="preserve"> to </w:t>
      </w:r>
      <w:r w:rsidR="00FA682B" w:rsidRPr="00270F1D">
        <w:rPr>
          <w:rFonts w:cs="Clear Sans"/>
        </w:rPr>
        <w:t xml:space="preserve">show the </w:t>
      </w:r>
      <w:r w:rsidR="007913BF">
        <w:rPr>
          <w:rFonts w:cs="Clear Sans"/>
        </w:rPr>
        <w:t xml:space="preserve">portfolio’s </w:t>
      </w:r>
      <w:r w:rsidR="009A1AED" w:rsidRPr="00270F1D">
        <w:rPr>
          <w:rFonts w:cs="Clear Sans"/>
        </w:rPr>
        <w:t>regional</w:t>
      </w:r>
      <w:r w:rsidR="00FA682B" w:rsidRPr="00270F1D">
        <w:rPr>
          <w:rFonts w:cs="Clear Sans"/>
        </w:rPr>
        <w:t>ly</w:t>
      </w:r>
      <w:r w:rsidR="009A1AED" w:rsidRPr="00270F1D">
        <w:rPr>
          <w:rFonts w:cs="Clear Sans"/>
        </w:rPr>
        <w:t xml:space="preserve"> specific alignment</w:t>
      </w:r>
      <w:r w:rsidR="007913BF">
        <w:rPr>
          <w:rFonts w:cs="Clear Sans"/>
        </w:rPr>
        <w:t xml:space="preserve"> based on location of physical assets, highlighting </w:t>
      </w:r>
      <w:r w:rsidRPr="00270F1D">
        <w:rPr>
          <w:rFonts w:cs="Clear Sans"/>
        </w:rPr>
        <w:t xml:space="preserve">the most relevant </w:t>
      </w:r>
      <w:r w:rsidR="009A1AED" w:rsidRPr="00270F1D">
        <w:rPr>
          <w:rFonts w:cs="Clear Sans"/>
        </w:rPr>
        <w:t>regions to act on</w:t>
      </w:r>
      <w:r w:rsidR="00BC6040" w:rsidRPr="00270F1D">
        <w:rPr>
          <w:rFonts w:cs="Clear Sans"/>
        </w:rPr>
        <w:t>;</w:t>
      </w:r>
    </w:p>
    <w:p w14:paraId="1C21A271" w14:textId="47116F9D" w:rsidR="00197940" w:rsidRPr="00270F1D" w:rsidRDefault="00197940" w:rsidP="00F43524">
      <w:pPr>
        <w:pStyle w:val="ListParagraph"/>
        <w:numPr>
          <w:ilvl w:val="0"/>
          <w:numId w:val="17"/>
        </w:numPr>
        <w:rPr>
          <w:rFonts w:cs="Clear Sans"/>
        </w:rPr>
      </w:pPr>
      <w:r w:rsidRPr="00270F1D">
        <w:rPr>
          <w:rFonts w:cs="Clear Sans"/>
          <w:b/>
        </w:rPr>
        <w:t>Equity market</w:t>
      </w:r>
      <w:r w:rsidRPr="00270F1D">
        <w:rPr>
          <w:rFonts w:cs="Clear Sans"/>
        </w:rPr>
        <w:t xml:space="preserve"> </w:t>
      </w:r>
      <w:r w:rsidR="007913BF" w:rsidRPr="00270F1D">
        <w:rPr>
          <w:rFonts w:cs="Clear Sans"/>
        </w:rPr>
        <w:t xml:space="preserve">to show the </w:t>
      </w:r>
      <w:r w:rsidR="007913BF">
        <w:rPr>
          <w:rFonts w:cs="Clear Sans"/>
        </w:rPr>
        <w:t xml:space="preserve">portfolio’s </w:t>
      </w:r>
      <w:r w:rsidR="007913BF" w:rsidRPr="00270F1D">
        <w:rPr>
          <w:rFonts w:cs="Clear Sans"/>
        </w:rPr>
        <w:t>regionally</w:t>
      </w:r>
      <w:r w:rsidR="007913BF">
        <w:rPr>
          <w:rFonts w:cs="Clear Sans"/>
        </w:rPr>
        <w:t xml:space="preserve"> specific alignment based on company domiciles, highlighting how geographic investment mandates impact alignment results</w:t>
      </w:r>
      <w:r w:rsidR="007B18D4">
        <w:rPr>
          <w:rFonts w:cs="Clear Sans"/>
        </w:rPr>
        <w:t>;</w:t>
      </w:r>
    </w:p>
    <w:p w14:paraId="7283D882" w14:textId="06B94681" w:rsidR="00197940" w:rsidRPr="00270F1D" w:rsidRDefault="00197940" w:rsidP="00F43524">
      <w:pPr>
        <w:pStyle w:val="ListParagraph"/>
        <w:numPr>
          <w:ilvl w:val="0"/>
          <w:numId w:val="17"/>
        </w:numPr>
        <w:rPr>
          <w:rFonts w:eastAsia="Times New Roman" w:cs="Clear Sans"/>
        </w:rPr>
      </w:pPr>
      <w:r w:rsidRPr="00270F1D">
        <w:rPr>
          <w:rFonts w:eastAsia="Times New Roman" w:cs="Clear Sans"/>
          <w:b/>
        </w:rPr>
        <w:t>Benchmark portfolio</w:t>
      </w:r>
      <w:r w:rsidRPr="00270F1D">
        <w:rPr>
          <w:rFonts w:eastAsia="Times New Roman" w:cs="Clear Sans"/>
        </w:rPr>
        <w:t xml:space="preserve"> to either assess </w:t>
      </w:r>
      <w:r w:rsidR="007B18D4">
        <w:rPr>
          <w:rFonts w:eastAsia="Times New Roman" w:cs="Clear Sans"/>
        </w:rPr>
        <w:t>the</w:t>
      </w:r>
      <w:r w:rsidRPr="00270F1D">
        <w:rPr>
          <w:rFonts w:eastAsia="Times New Roman" w:cs="Clear Sans"/>
        </w:rPr>
        <w:t xml:space="preserve"> portfolio</w:t>
      </w:r>
      <w:r w:rsidR="007B18D4">
        <w:rPr>
          <w:rFonts w:eastAsia="Times New Roman" w:cs="Clear Sans"/>
        </w:rPr>
        <w:t>’s current</w:t>
      </w:r>
      <w:r w:rsidRPr="00270F1D">
        <w:rPr>
          <w:rFonts w:eastAsia="Times New Roman" w:cs="Clear Sans"/>
        </w:rPr>
        <w:t xml:space="preserve"> build out plans against </w:t>
      </w:r>
      <w:r w:rsidR="007B18D4">
        <w:rPr>
          <w:rFonts w:eastAsia="Times New Roman" w:cs="Clear Sans"/>
        </w:rPr>
        <w:t xml:space="preserve">its own </w:t>
      </w:r>
      <w:r w:rsidRPr="00270F1D">
        <w:rPr>
          <w:rFonts w:eastAsia="Times New Roman" w:cs="Clear Sans"/>
        </w:rPr>
        <w:t>scenario</w:t>
      </w:r>
      <w:r w:rsidR="007B18D4">
        <w:rPr>
          <w:rFonts w:eastAsia="Times New Roman" w:cs="Clear Sans"/>
        </w:rPr>
        <w:t>-</w:t>
      </w:r>
      <w:r w:rsidRPr="00270F1D">
        <w:rPr>
          <w:rFonts w:eastAsia="Times New Roman" w:cs="Clear Sans"/>
        </w:rPr>
        <w:t xml:space="preserve">compatible </w:t>
      </w:r>
      <w:r w:rsidR="007B18D4">
        <w:rPr>
          <w:rFonts w:eastAsia="Times New Roman" w:cs="Clear Sans"/>
        </w:rPr>
        <w:t>targets</w:t>
      </w:r>
      <w:r w:rsidR="009600F3">
        <w:rPr>
          <w:rFonts w:eastAsia="Times New Roman" w:cs="Clear Sans"/>
        </w:rPr>
        <w:t xml:space="preserve"> (</w:t>
      </w:r>
      <w:r w:rsidR="00FB656F">
        <w:rPr>
          <w:rFonts w:eastAsia="Times New Roman" w:cs="Clear Sans"/>
        </w:rPr>
        <w:t>referred to as the</w:t>
      </w:r>
      <w:r w:rsidR="009600F3">
        <w:rPr>
          <w:rFonts w:eastAsia="Times New Roman" w:cs="Clear Sans"/>
        </w:rPr>
        <w:t xml:space="preserve"> “Aligned Portfolio”)</w:t>
      </w:r>
      <w:r w:rsidR="007B18D4">
        <w:rPr>
          <w:rFonts w:eastAsia="Times New Roman" w:cs="Clear Sans"/>
        </w:rPr>
        <w:t>,</w:t>
      </w:r>
      <w:r w:rsidRPr="00270F1D">
        <w:rPr>
          <w:rFonts w:eastAsia="Times New Roman" w:cs="Clear Sans"/>
        </w:rPr>
        <w:t xml:space="preserve"> or </w:t>
      </w:r>
      <w:r w:rsidR="007B18D4">
        <w:rPr>
          <w:rFonts w:eastAsia="Times New Roman" w:cs="Clear Sans"/>
        </w:rPr>
        <w:t xml:space="preserve">to </w:t>
      </w:r>
      <w:r w:rsidRPr="00270F1D">
        <w:rPr>
          <w:rFonts w:eastAsia="Times New Roman" w:cs="Clear Sans"/>
        </w:rPr>
        <w:t xml:space="preserve">compare </w:t>
      </w:r>
      <w:r w:rsidR="007B18D4">
        <w:rPr>
          <w:rFonts w:eastAsia="Times New Roman" w:cs="Clear Sans"/>
        </w:rPr>
        <w:t xml:space="preserve">the </w:t>
      </w:r>
      <w:r w:rsidRPr="00270F1D">
        <w:rPr>
          <w:rFonts w:eastAsia="Times New Roman" w:cs="Clear Sans"/>
        </w:rPr>
        <w:t xml:space="preserve">portfolio to </w:t>
      </w:r>
      <w:r w:rsidR="009F7751">
        <w:rPr>
          <w:rFonts w:eastAsia="Times New Roman" w:cs="Clear Sans"/>
        </w:rPr>
        <w:t>a specific</w:t>
      </w:r>
      <w:r w:rsidR="007B18D4">
        <w:rPr>
          <w:rFonts w:eastAsia="Times New Roman" w:cs="Clear Sans"/>
        </w:rPr>
        <w:t xml:space="preserve"> </w:t>
      </w:r>
      <w:r w:rsidR="009F7751">
        <w:rPr>
          <w:rFonts w:eastAsia="Times New Roman" w:cs="Clear Sans"/>
        </w:rPr>
        <w:t>bench</w:t>
      </w:r>
      <w:r w:rsidR="00FB656F">
        <w:rPr>
          <w:rFonts w:eastAsia="Times New Roman" w:cs="Clear Sans"/>
        </w:rPr>
        <w:t>mark</w:t>
      </w:r>
      <w:r w:rsidR="007B18D4">
        <w:rPr>
          <w:rFonts w:eastAsia="Times New Roman" w:cs="Clear Sans"/>
        </w:rPr>
        <w:t xml:space="preserve"> </w:t>
      </w:r>
      <w:r w:rsidR="009F7751">
        <w:rPr>
          <w:rFonts w:eastAsia="Times New Roman" w:cs="Clear Sans"/>
        </w:rPr>
        <w:t xml:space="preserve">such as an asset class appropriate market portfolio </w:t>
      </w:r>
      <w:r w:rsidRPr="00270F1D">
        <w:rPr>
          <w:rFonts w:eastAsia="Times New Roman" w:cs="Clear Sans"/>
        </w:rPr>
        <w:t>under a scenario</w:t>
      </w:r>
      <w:r w:rsidR="007B18D4">
        <w:rPr>
          <w:rFonts w:eastAsia="Times New Roman" w:cs="Clear Sans"/>
        </w:rPr>
        <w:t>-</w:t>
      </w:r>
      <w:r w:rsidRPr="00270F1D">
        <w:rPr>
          <w:rFonts w:eastAsia="Times New Roman" w:cs="Clear Sans"/>
        </w:rPr>
        <w:t xml:space="preserve">compatible </w:t>
      </w:r>
      <w:r w:rsidR="009A1AED" w:rsidRPr="00270F1D">
        <w:rPr>
          <w:rFonts w:eastAsia="Times New Roman" w:cs="Clear Sans"/>
        </w:rPr>
        <w:t>decarbonization pathway</w:t>
      </w:r>
      <w:r w:rsidR="009F7751">
        <w:rPr>
          <w:rFonts w:eastAsia="Times New Roman" w:cs="Clear Sans"/>
        </w:rPr>
        <w:t xml:space="preserve"> (“Aligned Benchmark”)</w:t>
      </w:r>
      <w:r w:rsidR="00BC6040" w:rsidRPr="00270F1D">
        <w:rPr>
          <w:rFonts w:eastAsia="Times New Roman" w:cs="Clear Sans"/>
        </w:rPr>
        <w:t>;</w:t>
      </w:r>
    </w:p>
    <w:p w14:paraId="45B77647" w14:textId="1F7C4D4C" w:rsidR="00197940" w:rsidRPr="00270F1D" w:rsidRDefault="00197940" w:rsidP="00F43524">
      <w:pPr>
        <w:pStyle w:val="ListParagraph"/>
        <w:numPr>
          <w:ilvl w:val="0"/>
          <w:numId w:val="17"/>
        </w:numPr>
        <w:rPr>
          <w:rFonts w:eastAsia="Times New Roman" w:cs="Clear Sans"/>
        </w:rPr>
      </w:pPr>
      <w:r w:rsidRPr="00270F1D">
        <w:rPr>
          <w:rFonts w:eastAsia="Times New Roman" w:cs="Clear Sans"/>
          <w:b/>
        </w:rPr>
        <w:t>Peer group</w:t>
      </w:r>
      <w:r w:rsidRPr="00270F1D">
        <w:rPr>
          <w:rFonts w:eastAsia="Times New Roman" w:cs="Clear Sans"/>
        </w:rPr>
        <w:t xml:space="preserve"> to compare </w:t>
      </w:r>
      <w:r w:rsidR="007B18D4">
        <w:rPr>
          <w:rFonts w:eastAsia="Times New Roman" w:cs="Clear Sans"/>
        </w:rPr>
        <w:t>the portfolio</w:t>
      </w:r>
      <w:r w:rsidRPr="00270F1D">
        <w:rPr>
          <w:rFonts w:eastAsia="Times New Roman" w:cs="Clear Sans"/>
        </w:rPr>
        <w:t xml:space="preserve"> to </w:t>
      </w:r>
      <w:r w:rsidR="007B18D4">
        <w:rPr>
          <w:rFonts w:eastAsia="Times New Roman" w:cs="Clear Sans"/>
        </w:rPr>
        <w:t xml:space="preserve">a set of the most </w:t>
      </w:r>
      <w:r w:rsidRPr="00270F1D">
        <w:rPr>
          <w:rFonts w:eastAsia="Times New Roman" w:cs="Clear Sans"/>
        </w:rPr>
        <w:t xml:space="preserve">relevant peers </w:t>
      </w:r>
      <w:r w:rsidR="007B18D4">
        <w:rPr>
          <w:rFonts w:eastAsia="Times New Roman" w:cs="Clear Sans"/>
        </w:rPr>
        <w:t xml:space="preserve">available </w:t>
      </w:r>
      <w:r w:rsidRPr="00270F1D">
        <w:rPr>
          <w:rFonts w:eastAsia="Times New Roman" w:cs="Clear Sans"/>
        </w:rPr>
        <w:t>(given data availability restriction</w:t>
      </w:r>
      <w:r w:rsidR="007B18D4">
        <w:rPr>
          <w:rFonts w:eastAsia="Times New Roman" w:cs="Clear Sans"/>
        </w:rPr>
        <w:t>s</w:t>
      </w:r>
      <w:r w:rsidRPr="00270F1D">
        <w:rPr>
          <w:rFonts w:eastAsia="Times New Roman" w:cs="Clear Sans"/>
        </w:rPr>
        <w:t>)</w:t>
      </w:r>
      <w:r w:rsidR="00BC6040" w:rsidRPr="00270F1D">
        <w:rPr>
          <w:rFonts w:eastAsia="Times New Roman" w:cs="Clear Sans"/>
        </w:rPr>
        <w:t>.</w:t>
      </w:r>
    </w:p>
    <w:p w14:paraId="10D77056" w14:textId="77777777" w:rsidR="00E505E9" w:rsidRDefault="00E505E9" w:rsidP="00BB56DA">
      <w:pPr>
        <w:pStyle w:val="Heading4"/>
        <w:rPr>
          <w:rFonts w:ascii="Clear Sans" w:hAnsi="Clear Sans" w:cs="Clear Sans"/>
        </w:rPr>
      </w:pPr>
    </w:p>
    <w:p w14:paraId="390EEBC1" w14:textId="59619D2B" w:rsidR="00D02D46" w:rsidRPr="00270F1D" w:rsidRDefault="00413771" w:rsidP="00BB56DA">
      <w:pPr>
        <w:pStyle w:val="Heading4"/>
        <w:rPr>
          <w:rFonts w:ascii="Clear Sans" w:hAnsi="Clear Sans" w:cs="Clear Sans"/>
        </w:rPr>
      </w:pPr>
      <w:r w:rsidRPr="00270F1D">
        <w:rPr>
          <w:rFonts w:ascii="Clear Sans" w:hAnsi="Clear Sans" w:cs="Clear Sans"/>
        </w:rPr>
        <w:t>Scenario</w:t>
      </w:r>
      <w:r w:rsidR="00D02D46" w:rsidRPr="00270F1D">
        <w:rPr>
          <w:rFonts w:ascii="Clear Sans" w:hAnsi="Clear Sans" w:cs="Clear Sans"/>
        </w:rPr>
        <w:t xml:space="preserve"> </w:t>
      </w:r>
    </w:p>
    <w:p w14:paraId="7DFBF804" w14:textId="21A69E43" w:rsidR="00AE0FD9" w:rsidRPr="00270F1D" w:rsidRDefault="00197940" w:rsidP="009A1AED">
      <w:pPr>
        <w:rPr>
          <w:rFonts w:ascii="Clear Sans" w:hAnsi="Clear Sans" w:cs="Clear Sans"/>
        </w:rPr>
      </w:pPr>
      <w:r w:rsidRPr="00270F1D">
        <w:rPr>
          <w:rFonts w:ascii="Clear Sans" w:hAnsi="Clear Sans" w:cs="Clear Sans"/>
        </w:rPr>
        <w:t>Scenarios represent potential technologies pathways to reach</w:t>
      </w:r>
      <w:r w:rsidR="00CA79BA" w:rsidRPr="00270F1D">
        <w:rPr>
          <w:rFonts w:ascii="Clear Sans" w:hAnsi="Clear Sans" w:cs="Clear Sans"/>
        </w:rPr>
        <w:t xml:space="preserve"> e.g.</w:t>
      </w:r>
      <w:r w:rsidRPr="00270F1D">
        <w:rPr>
          <w:rFonts w:ascii="Clear Sans" w:hAnsi="Clear Sans" w:cs="Clear Sans"/>
        </w:rPr>
        <w:t xml:space="preserve"> climate targets. </w:t>
      </w:r>
      <w:r w:rsidR="00CA79BA" w:rsidRPr="00270F1D">
        <w:rPr>
          <w:rFonts w:ascii="Clear Sans" w:hAnsi="Clear Sans" w:cs="Clear Sans"/>
        </w:rPr>
        <w:t>While being based on the best available scientific research, t</w:t>
      </w:r>
      <w:r w:rsidRPr="00270F1D">
        <w:rPr>
          <w:rFonts w:ascii="Clear Sans" w:hAnsi="Clear Sans" w:cs="Clear Sans"/>
        </w:rPr>
        <w:t>he</w:t>
      </w:r>
      <w:r w:rsidR="00AE0FD9" w:rsidRPr="00270F1D">
        <w:rPr>
          <w:rFonts w:ascii="Clear Sans" w:hAnsi="Clear Sans" w:cs="Clear Sans"/>
        </w:rPr>
        <w:t>re remain uncertainties around the outcome</w:t>
      </w:r>
      <w:r w:rsidR="00FA682B" w:rsidRPr="00270F1D">
        <w:rPr>
          <w:rFonts w:ascii="Clear Sans" w:hAnsi="Clear Sans" w:cs="Clear Sans"/>
        </w:rPr>
        <w:t>s</w:t>
      </w:r>
      <w:r w:rsidR="00AE0FD9" w:rsidRPr="00270F1D">
        <w:rPr>
          <w:rFonts w:ascii="Clear Sans" w:hAnsi="Clear Sans" w:cs="Clear Sans"/>
        </w:rPr>
        <w:t>. Furthermore,</w:t>
      </w:r>
      <w:r w:rsidRPr="00270F1D">
        <w:rPr>
          <w:rFonts w:ascii="Clear Sans" w:hAnsi="Clear Sans" w:cs="Clear Sans"/>
        </w:rPr>
        <w:t xml:space="preserve"> different</w:t>
      </w:r>
      <w:r w:rsidR="00AE0FD9" w:rsidRPr="00270F1D">
        <w:rPr>
          <w:rFonts w:ascii="Clear Sans" w:hAnsi="Clear Sans" w:cs="Clear Sans"/>
        </w:rPr>
        <w:t xml:space="preserve"> scenarios / pathways can lead</w:t>
      </w:r>
      <w:r w:rsidRPr="00270F1D">
        <w:rPr>
          <w:rFonts w:ascii="Clear Sans" w:hAnsi="Clear Sans" w:cs="Clear Sans"/>
        </w:rPr>
        <w:t xml:space="preserve"> towards the same climate target depending on technology beliefs</w:t>
      </w:r>
      <w:r w:rsidR="00CA79BA" w:rsidRPr="00270F1D">
        <w:rPr>
          <w:rFonts w:ascii="Clear Sans" w:hAnsi="Clear Sans" w:cs="Clear Sans"/>
        </w:rPr>
        <w:t xml:space="preserve"> and</w:t>
      </w:r>
      <w:r w:rsidRPr="00270F1D">
        <w:rPr>
          <w:rFonts w:ascii="Clear Sans" w:hAnsi="Clear Sans" w:cs="Clear Sans"/>
        </w:rPr>
        <w:t xml:space="preserve"> preferences,</w:t>
      </w:r>
      <w:r w:rsidR="00FA682B" w:rsidRPr="00270F1D">
        <w:rPr>
          <w:rFonts w:ascii="Clear Sans" w:hAnsi="Clear Sans" w:cs="Clear Sans"/>
        </w:rPr>
        <w:t xml:space="preserve"> </w:t>
      </w:r>
      <w:r w:rsidR="00AE0FD9" w:rsidRPr="00270F1D">
        <w:rPr>
          <w:rFonts w:ascii="Clear Sans" w:hAnsi="Clear Sans" w:cs="Clear Sans"/>
        </w:rPr>
        <w:t xml:space="preserve">as well as </w:t>
      </w:r>
      <w:r w:rsidRPr="00270F1D">
        <w:rPr>
          <w:rFonts w:ascii="Clear Sans" w:hAnsi="Clear Sans" w:cs="Clear Sans"/>
        </w:rPr>
        <w:t>economic</w:t>
      </w:r>
      <w:r w:rsidR="00CA79BA" w:rsidRPr="00270F1D">
        <w:rPr>
          <w:rFonts w:ascii="Clear Sans" w:hAnsi="Clear Sans" w:cs="Clear Sans"/>
        </w:rPr>
        <w:t xml:space="preserve">, </w:t>
      </w:r>
      <w:r w:rsidRPr="00270F1D">
        <w:rPr>
          <w:rFonts w:ascii="Clear Sans" w:hAnsi="Clear Sans" w:cs="Clear Sans"/>
        </w:rPr>
        <w:t xml:space="preserve">social </w:t>
      </w:r>
      <w:r w:rsidR="00AE0FD9" w:rsidRPr="00270F1D">
        <w:rPr>
          <w:rFonts w:ascii="Clear Sans" w:hAnsi="Clear Sans" w:cs="Clear Sans"/>
        </w:rPr>
        <w:t>and o</w:t>
      </w:r>
      <w:r w:rsidR="00CA79BA" w:rsidRPr="00270F1D">
        <w:rPr>
          <w:rFonts w:ascii="Clear Sans" w:hAnsi="Clear Sans" w:cs="Clear Sans"/>
        </w:rPr>
        <w:t xml:space="preserve">ther </w:t>
      </w:r>
      <w:r w:rsidRPr="00270F1D">
        <w:rPr>
          <w:rFonts w:ascii="Clear Sans" w:hAnsi="Clear Sans" w:cs="Clear Sans"/>
        </w:rPr>
        <w:t>assumptions, etc.</w:t>
      </w:r>
      <w:r w:rsidR="00AE0FD9" w:rsidRPr="00270F1D">
        <w:rPr>
          <w:rFonts w:ascii="Clear Sans" w:hAnsi="Clear Sans" w:cs="Clear Sans"/>
        </w:rPr>
        <w:t xml:space="preserve"> </w:t>
      </w:r>
    </w:p>
    <w:p w14:paraId="62EC7A6C" w14:textId="5AAE59AE" w:rsidR="00E505E9" w:rsidRPr="00270F1D" w:rsidRDefault="00197940" w:rsidP="009A1AED">
      <w:pPr>
        <w:rPr>
          <w:rFonts w:ascii="Clear Sans" w:hAnsi="Clear Sans" w:cs="Clear Sans"/>
        </w:rPr>
      </w:pPr>
      <w:r w:rsidRPr="00270F1D">
        <w:rPr>
          <w:rFonts w:ascii="Clear Sans" w:hAnsi="Clear Sans" w:cs="Clear Sans"/>
        </w:rPr>
        <w:t xml:space="preserve">The </w:t>
      </w:r>
      <w:r w:rsidR="00AE0FD9" w:rsidRPr="00270F1D">
        <w:rPr>
          <w:rFonts w:ascii="Clear Sans" w:hAnsi="Clear Sans" w:cs="Clear Sans"/>
        </w:rPr>
        <w:t xml:space="preserve">most prominent </w:t>
      </w:r>
      <w:r w:rsidR="00CA79BA" w:rsidRPr="00270F1D">
        <w:rPr>
          <w:rFonts w:ascii="Clear Sans" w:hAnsi="Clear Sans" w:cs="Clear Sans"/>
        </w:rPr>
        <w:t xml:space="preserve">climate </w:t>
      </w:r>
      <w:r w:rsidRPr="00270F1D">
        <w:rPr>
          <w:rFonts w:ascii="Clear Sans" w:hAnsi="Clear Sans" w:cs="Clear Sans"/>
        </w:rPr>
        <w:t xml:space="preserve">technology pathways </w:t>
      </w:r>
      <w:r w:rsidR="00AE0FD9" w:rsidRPr="00270F1D">
        <w:rPr>
          <w:rFonts w:ascii="Clear Sans" w:hAnsi="Clear Sans" w:cs="Clear Sans"/>
        </w:rPr>
        <w:t xml:space="preserve">providers </w:t>
      </w:r>
      <w:r w:rsidRPr="00270F1D">
        <w:rPr>
          <w:rFonts w:ascii="Clear Sans" w:hAnsi="Clear Sans" w:cs="Clear Sans"/>
        </w:rPr>
        <w:t>are the IPCC</w:t>
      </w:r>
      <w:r w:rsidR="00CA79BA" w:rsidRPr="00270F1D">
        <w:rPr>
          <w:rFonts w:ascii="Clear Sans" w:hAnsi="Clear Sans" w:cs="Clear Sans"/>
        </w:rPr>
        <w:t xml:space="preserve"> scenario</w:t>
      </w:r>
      <w:r w:rsidRPr="00270F1D">
        <w:rPr>
          <w:rFonts w:ascii="Clear Sans" w:hAnsi="Clear Sans" w:cs="Clear Sans"/>
        </w:rPr>
        <w:t xml:space="preserve"> community</w:t>
      </w:r>
      <w:r w:rsidR="00CA79BA" w:rsidRPr="00270F1D">
        <w:rPr>
          <w:rFonts w:ascii="Clear Sans" w:hAnsi="Clear Sans" w:cs="Clear Sans"/>
        </w:rPr>
        <w:t xml:space="preserve"> (</w:t>
      </w:r>
      <w:proofErr w:type="spellStart"/>
      <w:r w:rsidR="00CA79BA" w:rsidRPr="00270F1D">
        <w:rPr>
          <w:rFonts w:ascii="Clear Sans" w:hAnsi="Clear Sans" w:cs="Clear Sans"/>
        </w:rPr>
        <w:t>i.a.</w:t>
      </w:r>
      <w:proofErr w:type="spellEnd"/>
      <w:r w:rsidR="00CA79BA" w:rsidRPr="00270F1D">
        <w:rPr>
          <w:rFonts w:ascii="Clear Sans" w:hAnsi="Clear Sans" w:cs="Clear Sans"/>
        </w:rPr>
        <w:t xml:space="preserve"> IIASA, PIK)</w:t>
      </w:r>
      <w:r w:rsidRPr="00270F1D">
        <w:rPr>
          <w:rFonts w:ascii="Clear Sans" w:hAnsi="Clear Sans" w:cs="Clear Sans"/>
        </w:rPr>
        <w:t xml:space="preserve"> as well as the International Energy Agency (IEA). </w:t>
      </w:r>
      <w:r w:rsidR="00CA79BA" w:rsidRPr="00270F1D">
        <w:rPr>
          <w:rFonts w:ascii="Clear Sans" w:hAnsi="Clear Sans" w:cs="Clear Sans"/>
        </w:rPr>
        <w:t>T</w:t>
      </w:r>
      <w:r w:rsidRPr="00270F1D">
        <w:rPr>
          <w:rFonts w:ascii="Clear Sans" w:hAnsi="Clear Sans" w:cs="Clear Sans"/>
        </w:rPr>
        <w:t>here are also several other organizations that publish technology roadmaps</w:t>
      </w:r>
      <w:r w:rsidR="00CA79BA" w:rsidRPr="00270F1D">
        <w:rPr>
          <w:rFonts w:ascii="Clear Sans" w:hAnsi="Clear Sans" w:cs="Clear Sans"/>
        </w:rPr>
        <w:t>. Some of which are available in this tool</w:t>
      </w:r>
      <w:r w:rsidRPr="00270F1D">
        <w:rPr>
          <w:rFonts w:ascii="Clear Sans" w:hAnsi="Clear Sans" w:cs="Clear Sans"/>
        </w:rPr>
        <w:t xml:space="preserve">, namely Bloomberg New Energy Finance (BNEF) and </w:t>
      </w:r>
      <w:proofErr w:type="spellStart"/>
      <w:r w:rsidRPr="00270F1D">
        <w:rPr>
          <w:rFonts w:ascii="Clear Sans" w:hAnsi="Clear Sans" w:cs="Clear Sans"/>
        </w:rPr>
        <w:t>GreenPeace</w:t>
      </w:r>
      <w:proofErr w:type="spellEnd"/>
      <w:r w:rsidRPr="00270F1D">
        <w:rPr>
          <w:rFonts w:ascii="Clear Sans" w:hAnsi="Clear Sans" w:cs="Clear Sans"/>
        </w:rPr>
        <w:t xml:space="preserve"> (GP). The table below gives an overview of available scenarios in this tool, sector and regionality coverage, the connected global warming in centigrade as well as the key characteristics of the scenarios.</w:t>
      </w:r>
    </w:p>
    <w:p w14:paraId="5B68D661" w14:textId="6D737E2B" w:rsidR="00BC6040" w:rsidRPr="00270F1D" w:rsidRDefault="00BC6040" w:rsidP="00BC6040">
      <w:pPr>
        <w:pStyle w:val="Caption"/>
        <w:keepNext/>
        <w:rPr>
          <w:rFonts w:ascii="Clear Sans" w:hAnsi="Clear Sans" w:cs="Clear Sans"/>
        </w:rPr>
      </w:pPr>
      <w:bookmarkStart w:id="0" w:name="_Ref521336452"/>
      <w:r w:rsidRPr="00270F1D">
        <w:rPr>
          <w:rFonts w:ascii="Clear Sans" w:hAnsi="Clear Sans" w:cs="Clear Sans"/>
        </w:rPr>
        <w:t xml:space="preserve">Table </w:t>
      </w:r>
      <w:r w:rsidR="008E7EAD" w:rsidRPr="00270F1D">
        <w:rPr>
          <w:rFonts w:ascii="Clear Sans" w:hAnsi="Clear Sans" w:cs="Clear Sans"/>
          <w:noProof/>
        </w:rPr>
        <w:fldChar w:fldCharType="begin"/>
      </w:r>
      <w:r w:rsidR="008E7EAD" w:rsidRPr="00270F1D">
        <w:rPr>
          <w:rFonts w:ascii="Clear Sans" w:hAnsi="Clear Sans" w:cs="Clear Sans"/>
          <w:noProof/>
        </w:rPr>
        <w:instrText xml:space="preserve"> SEQ Table \* ARABIC </w:instrText>
      </w:r>
      <w:r w:rsidR="008E7EAD" w:rsidRPr="00270F1D">
        <w:rPr>
          <w:rFonts w:ascii="Clear Sans" w:hAnsi="Clear Sans" w:cs="Clear Sans"/>
          <w:noProof/>
        </w:rPr>
        <w:fldChar w:fldCharType="separate"/>
      </w:r>
      <w:r w:rsidR="00140D03">
        <w:rPr>
          <w:rFonts w:ascii="Clear Sans" w:hAnsi="Clear Sans" w:cs="Clear Sans"/>
          <w:noProof/>
        </w:rPr>
        <w:t>1</w:t>
      </w:r>
      <w:r w:rsidR="008E7EAD" w:rsidRPr="00270F1D">
        <w:rPr>
          <w:rFonts w:ascii="Clear Sans" w:hAnsi="Clear Sans" w:cs="Clear Sans"/>
          <w:noProof/>
        </w:rPr>
        <w:fldChar w:fldCharType="end"/>
      </w:r>
      <w:r w:rsidRPr="00270F1D">
        <w:rPr>
          <w:rFonts w:ascii="Clear Sans" w:hAnsi="Clear Sans" w:cs="Clear Sans"/>
          <w:lang w:val="de-DE"/>
        </w:rPr>
        <w:t>: Scenario Overview</w:t>
      </w:r>
      <w:bookmarkEnd w:id="0"/>
    </w:p>
    <w:tbl>
      <w:tblPr>
        <w:tblStyle w:val="PlainTable2"/>
        <w:tblW w:w="5000" w:type="pct"/>
        <w:tblLayout w:type="fixed"/>
        <w:tblLook w:val="04A0" w:firstRow="1" w:lastRow="0" w:firstColumn="1" w:lastColumn="0" w:noHBand="0" w:noVBand="1"/>
      </w:tblPr>
      <w:tblGrid>
        <w:gridCol w:w="1209"/>
        <w:gridCol w:w="152"/>
        <w:gridCol w:w="1667"/>
        <w:gridCol w:w="1515"/>
        <w:gridCol w:w="1515"/>
        <w:gridCol w:w="3580"/>
      </w:tblGrid>
      <w:tr w:rsidR="00714CC1" w:rsidRPr="000E7CC9" w14:paraId="7333A226" w14:textId="7D0F170B" w:rsidTr="00714CC1">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27" w:type="pct"/>
            <w:shd w:val="clear" w:color="auto" w:fill="2E2F31"/>
            <w:noWrap/>
            <w:vAlign w:val="center"/>
            <w:hideMark/>
          </w:tcPr>
          <w:p w14:paraId="79406CA7" w14:textId="77777777" w:rsidR="00B9591C" w:rsidRPr="000E7CC9" w:rsidRDefault="00B9591C" w:rsidP="000E7CC9">
            <w:pPr>
              <w:jc w:val="center"/>
              <w:rPr>
                <w:rFonts w:ascii="Clear Sans Light" w:eastAsia="Times New Roman" w:hAnsi="Clear Sans Light" w:cs="Clear Sans Light"/>
                <w:color w:val="FFFFFF"/>
                <w:sz w:val="20"/>
              </w:rPr>
            </w:pPr>
            <w:r w:rsidRPr="000E7CC9">
              <w:rPr>
                <w:rFonts w:ascii="Clear Sans Light" w:eastAsia="Times New Roman" w:hAnsi="Clear Sans Light" w:cs="Clear Sans Light"/>
                <w:color w:val="FFFFFF"/>
                <w:sz w:val="20"/>
              </w:rPr>
              <w:t>Scenario provider</w:t>
            </w:r>
          </w:p>
        </w:tc>
        <w:tc>
          <w:tcPr>
            <w:tcW w:w="944" w:type="pct"/>
            <w:gridSpan w:val="2"/>
            <w:shd w:val="clear" w:color="auto" w:fill="2E2F31"/>
            <w:noWrap/>
            <w:vAlign w:val="center"/>
            <w:hideMark/>
          </w:tcPr>
          <w:p w14:paraId="37954B1D" w14:textId="77777777" w:rsidR="00B9591C" w:rsidRPr="000E7CC9" w:rsidRDefault="00B9591C" w:rsidP="00714CC1">
            <w:pPr>
              <w:jc w:val="center"/>
              <w:cnfStyle w:val="100000000000" w:firstRow="1"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FFFFFF"/>
                <w:sz w:val="20"/>
              </w:rPr>
            </w:pPr>
            <w:r w:rsidRPr="000E7CC9">
              <w:rPr>
                <w:rFonts w:ascii="Clear Sans Light" w:eastAsia="Times New Roman" w:hAnsi="Clear Sans Light" w:cs="Clear Sans Light"/>
                <w:color w:val="FFFFFF"/>
                <w:sz w:val="20"/>
              </w:rPr>
              <w:t>Scenario Name</w:t>
            </w:r>
          </w:p>
        </w:tc>
        <w:tc>
          <w:tcPr>
            <w:tcW w:w="786" w:type="pct"/>
            <w:shd w:val="clear" w:color="auto" w:fill="2E2F31"/>
            <w:noWrap/>
            <w:vAlign w:val="center"/>
            <w:hideMark/>
          </w:tcPr>
          <w:p w14:paraId="756F6888" w14:textId="77777777" w:rsidR="00B9591C" w:rsidRPr="000E7CC9" w:rsidRDefault="00B9591C" w:rsidP="00714CC1">
            <w:pPr>
              <w:jc w:val="center"/>
              <w:cnfStyle w:val="100000000000" w:firstRow="1"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FFFFFF"/>
                <w:sz w:val="20"/>
              </w:rPr>
            </w:pPr>
            <w:r w:rsidRPr="000E7CC9">
              <w:rPr>
                <w:rFonts w:ascii="Clear Sans Light" w:eastAsia="Times New Roman" w:hAnsi="Clear Sans Light" w:cs="Clear Sans Light"/>
                <w:color w:val="FFFFFF"/>
                <w:sz w:val="20"/>
              </w:rPr>
              <w:t>Sector</w:t>
            </w:r>
          </w:p>
        </w:tc>
        <w:tc>
          <w:tcPr>
            <w:tcW w:w="786" w:type="pct"/>
            <w:shd w:val="clear" w:color="auto" w:fill="2E2F31"/>
            <w:noWrap/>
            <w:vAlign w:val="center"/>
            <w:hideMark/>
          </w:tcPr>
          <w:p w14:paraId="4E0A10CF" w14:textId="77777777" w:rsidR="00B9591C" w:rsidRPr="000E7CC9" w:rsidRDefault="00B9591C" w:rsidP="000E7CC9">
            <w:pPr>
              <w:jc w:val="center"/>
              <w:cnfStyle w:val="100000000000" w:firstRow="1"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FFFFFF"/>
                <w:sz w:val="20"/>
              </w:rPr>
            </w:pPr>
            <w:r w:rsidRPr="000E7CC9">
              <w:rPr>
                <w:rFonts w:ascii="Clear Sans Light" w:eastAsia="Times New Roman" w:hAnsi="Clear Sans Light" w:cs="Clear Sans Light"/>
                <w:color w:val="FFFFFF"/>
                <w:sz w:val="20"/>
              </w:rPr>
              <w:t>Regions</w:t>
            </w:r>
          </w:p>
        </w:tc>
        <w:tc>
          <w:tcPr>
            <w:tcW w:w="1858" w:type="pct"/>
            <w:shd w:val="clear" w:color="auto" w:fill="2E2F31"/>
            <w:vAlign w:val="center"/>
          </w:tcPr>
          <w:p w14:paraId="46F407B8" w14:textId="676A516E" w:rsidR="00B9591C" w:rsidRPr="000E7CC9" w:rsidRDefault="00B9591C" w:rsidP="000E7CC9">
            <w:pPr>
              <w:jc w:val="center"/>
              <w:cnfStyle w:val="100000000000" w:firstRow="1"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FFFFFF"/>
                <w:sz w:val="20"/>
              </w:rPr>
            </w:pPr>
            <w:r w:rsidRPr="000E7CC9">
              <w:rPr>
                <w:rFonts w:ascii="Clear Sans Light" w:eastAsia="Times New Roman" w:hAnsi="Clear Sans Light" w:cs="Clear Sans Light"/>
                <w:color w:val="FFFFFF"/>
                <w:sz w:val="20"/>
              </w:rPr>
              <w:t>Key characteristics</w:t>
            </w:r>
          </w:p>
        </w:tc>
      </w:tr>
      <w:tr w:rsidR="00B9591C" w:rsidRPr="000E7CC9" w14:paraId="5D7005D5" w14:textId="1AD8E81A" w:rsidTr="00714C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6" w:type="pct"/>
            <w:gridSpan w:val="2"/>
            <w:noWrap/>
            <w:vAlign w:val="center"/>
            <w:hideMark/>
          </w:tcPr>
          <w:p w14:paraId="1EE07A8D" w14:textId="77777777" w:rsidR="00B9591C" w:rsidRPr="000E7CC9" w:rsidRDefault="00B9591C" w:rsidP="000E7CC9">
            <w:pPr>
              <w:pStyle w:val="BodyText"/>
              <w:jc w:val="center"/>
              <w:rPr>
                <w:b w:val="0"/>
              </w:rPr>
            </w:pPr>
            <w:r w:rsidRPr="000E7CC9">
              <w:rPr>
                <w:b w:val="0"/>
              </w:rPr>
              <w:t>IEA</w:t>
            </w:r>
          </w:p>
        </w:tc>
        <w:tc>
          <w:tcPr>
            <w:tcW w:w="865" w:type="pct"/>
            <w:noWrap/>
            <w:vAlign w:val="center"/>
            <w:hideMark/>
          </w:tcPr>
          <w:p w14:paraId="24CA38AF"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Sustainable Development Scenario (2°C)</w:t>
            </w:r>
          </w:p>
        </w:tc>
        <w:tc>
          <w:tcPr>
            <w:tcW w:w="786" w:type="pct"/>
            <w:noWrap/>
            <w:vAlign w:val="center"/>
            <w:hideMark/>
          </w:tcPr>
          <w:p w14:paraId="7CED53A8"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Power, Fossil Fuels, Automotive</w:t>
            </w:r>
          </w:p>
        </w:tc>
        <w:tc>
          <w:tcPr>
            <w:tcW w:w="786" w:type="pct"/>
            <w:noWrap/>
            <w:vAlign w:val="center"/>
            <w:hideMark/>
          </w:tcPr>
          <w:p w14:paraId="37AF5C2D"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All*</w:t>
            </w:r>
          </w:p>
        </w:tc>
        <w:tc>
          <w:tcPr>
            <w:tcW w:w="1858" w:type="pct"/>
            <w:vAlign w:val="center"/>
          </w:tcPr>
          <w:p w14:paraId="0E4CE126" w14:textId="0792E45A"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Combines climate and social targets</w:t>
            </w:r>
            <w:r w:rsidR="00196F73">
              <w:rPr>
                <w:szCs w:val="18"/>
              </w:rPr>
              <w:t xml:space="preserve"> </w:t>
            </w:r>
            <w:r w:rsidR="00AE0FD9" w:rsidRPr="00E75C4C">
              <w:rPr>
                <w:szCs w:val="18"/>
              </w:rPr>
              <w:t>Limiting global warming to 2°C above pre-industrial levels</w:t>
            </w:r>
          </w:p>
        </w:tc>
      </w:tr>
      <w:tr w:rsidR="00B9591C" w:rsidRPr="000E7CC9" w14:paraId="62929520" w14:textId="36662F05" w:rsidTr="00714CC1">
        <w:trPr>
          <w:trHeight w:val="290"/>
        </w:trPr>
        <w:tc>
          <w:tcPr>
            <w:cnfStyle w:val="001000000000" w:firstRow="0" w:lastRow="0" w:firstColumn="1" w:lastColumn="0" w:oddVBand="0" w:evenVBand="0" w:oddHBand="0" w:evenHBand="0" w:firstRowFirstColumn="0" w:firstRowLastColumn="0" w:lastRowFirstColumn="0" w:lastRowLastColumn="0"/>
            <w:tcW w:w="706" w:type="pct"/>
            <w:gridSpan w:val="2"/>
            <w:shd w:val="clear" w:color="auto" w:fill="F2F2F2" w:themeFill="background1" w:themeFillShade="F2"/>
            <w:noWrap/>
            <w:vAlign w:val="center"/>
            <w:hideMark/>
          </w:tcPr>
          <w:p w14:paraId="2D9CB444" w14:textId="77777777" w:rsidR="00B9591C" w:rsidRPr="000E7CC9" w:rsidRDefault="00B9591C" w:rsidP="000E7CC9">
            <w:pPr>
              <w:pStyle w:val="BodyText"/>
              <w:jc w:val="center"/>
              <w:rPr>
                <w:b w:val="0"/>
              </w:rPr>
            </w:pPr>
            <w:r w:rsidRPr="000E7CC9">
              <w:rPr>
                <w:b w:val="0"/>
              </w:rPr>
              <w:t>IEA</w:t>
            </w:r>
          </w:p>
        </w:tc>
        <w:tc>
          <w:tcPr>
            <w:tcW w:w="865" w:type="pct"/>
            <w:shd w:val="clear" w:color="auto" w:fill="F2F2F2" w:themeFill="background1" w:themeFillShade="F2"/>
            <w:noWrap/>
            <w:vAlign w:val="center"/>
            <w:hideMark/>
          </w:tcPr>
          <w:p w14:paraId="6FBC6027" w14:textId="29E9A0AA" w:rsidR="00B9591C" w:rsidRPr="00E75C4C" w:rsidRDefault="000E7CC9"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Beyond</w:t>
            </w:r>
            <w:r w:rsidR="00C315AF">
              <w:rPr>
                <w:szCs w:val="18"/>
              </w:rPr>
              <w:t xml:space="preserve"> </w:t>
            </w:r>
            <w:r w:rsidR="00B9591C" w:rsidRPr="00E75C4C">
              <w:rPr>
                <w:szCs w:val="18"/>
              </w:rPr>
              <w:t>2 Degree Scenario (1.75°C)</w:t>
            </w:r>
          </w:p>
        </w:tc>
        <w:tc>
          <w:tcPr>
            <w:tcW w:w="786" w:type="pct"/>
            <w:shd w:val="clear" w:color="auto" w:fill="F2F2F2" w:themeFill="background1" w:themeFillShade="F2"/>
            <w:noWrap/>
            <w:vAlign w:val="center"/>
            <w:hideMark/>
          </w:tcPr>
          <w:p w14:paraId="28C1B500" w14:textId="77777777" w:rsidR="00B9591C" w:rsidRPr="00E75C4C" w:rsidRDefault="00B9591C"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Power, Automotive</w:t>
            </w:r>
          </w:p>
        </w:tc>
        <w:tc>
          <w:tcPr>
            <w:tcW w:w="786" w:type="pct"/>
            <w:shd w:val="clear" w:color="auto" w:fill="F2F2F2" w:themeFill="background1" w:themeFillShade="F2"/>
            <w:noWrap/>
            <w:vAlign w:val="center"/>
            <w:hideMark/>
          </w:tcPr>
          <w:p w14:paraId="2A498C28" w14:textId="5A5FD7E0" w:rsidR="00B9591C" w:rsidRPr="00E75C4C" w:rsidRDefault="00B9591C"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 xml:space="preserve">Global, </w:t>
            </w:r>
            <w:proofErr w:type="gramStart"/>
            <w:r w:rsidRPr="00E75C4C">
              <w:rPr>
                <w:szCs w:val="18"/>
              </w:rPr>
              <w:t xml:space="preserve">OECD, </w:t>
            </w:r>
            <w:r w:rsidR="00196F73">
              <w:rPr>
                <w:szCs w:val="18"/>
              </w:rPr>
              <w:t xml:space="preserve"> </w:t>
            </w:r>
            <w:r w:rsidRPr="00E75C4C">
              <w:rPr>
                <w:szCs w:val="18"/>
              </w:rPr>
              <w:t>non</w:t>
            </w:r>
            <w:proofErr w:type="gramEnd"/>
            <w:r w:rsidRPr="00E75C4C">
              <w:rPr>
                <w:szCs w:val="18"/>
              </w:rPr>
              <w:t>-OECD*</w:t>
            </w:r>
          </w:p>
        </w:tc>
        <w:tc>
          <w:tcPr>
            <w:tcW w:w="1858" w:type="pct"/>
            <w:shd w:val="clear" w:color="auto" w:fill="F2F2F2" w:themeFill="background1" w:themeFillShade="F2"/>
            <w:vAlign w:val="center"/>
          </w:tcPr>
          <w:p w14:paraId="09269FD9" w14:textId="737D5BDE" w:rsidR="00B9591C" w:rsidRPr="00E75C4C" w:rsidRDefault="00AE0FD9"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Limiting global warming to 1.75°C above pre-industrial levels</w:t>
            </w:r>
          </w:p>
        </w:tc>
      </w:tr>
      <w:tr w:rsidR="00B9591C" w:rsidRPr="000E7CC9" w14:paraId="24A1B8F8" w14:textId="29CEF0D2" w:rsidTr="00714C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6" w:type="pct"/>
            <w:gridSpan w:val="2"/>
            <w:noWrap/>
            <w:vAlign w:val="center"/>
            <w:hideMark/>
          </w:tcPr>
          <w:p w14:paraId="2C6FC81D" w14:textId="77777777" w:rsidR="00B9591C" w:rsidRPr="000E7CC9" w:rsidRDefault="00B9591C" w:rsidP="000E7CC9">
            <w:pPr>
              <w:pStyle w:val="BodyText"/>
              <w:jc w:val="center"/>
              <w:rPr>
                <w:b w:val="0"/>
              </w:rPr>
            </w:pPr>
            <w:r w:rsidRPr="000E7CC9">
              <w:rPr>
                <w:b w:val="0"/>
              </w:rPr>
              <w:t>IEA</w:t>
            </w:r>
          </w:p>
        </w:tc>
        <w:tc>
          <w:tcPr>
            <w:tcW w:w="865" w:type="pct"/>
            <w:noWrap/>
            <w:vAlign w:val="center"/>
            <w:hideMark/>
          </w:tcPr>
          <w:p w14:paraId="575CD20E" w14:textId="1B457AAD" w:rsidR="00B9591C" w:rsidRPr="00E75C4C" w:rsidRDefault="00196F73"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Pr>
                <w:szCs w:val="18"/>
              </w:rPr>
              <w:t>RTS</w:t>
            </w:r>
            <w:r w:rsidR="00B9591C" w:rsidRPr="00E75C4C">
              <w:rPr>
                <w:szCs w:val="18"/>
              </w:rPr>
              <w:t>/N</w:t>
            </w:r>
            <w:r>
              <w:rPr>
                <w:szCs w:val="18"/>
              </w:rPr>
              <w:t>PS (reference</w:t>
            </w:r>
            <w:r w:rsidR="00B9591C" w:rsidRPr="00E75C4C">
              <w:rPr>
                <w:szCs w:val="18"/>
              </w:rPr>
              <w:t>/new policies)</w:t>
            </w:r>
          </w:p>
        </w:tc>
        <w:tc>
          <w:tcPr>
            <w:tcW w:w="786" w:type="pct"/>
            <w:noWrap/>
            <w:vAlign w:val="center"/>
            <w:hideMark/>
          </w:tcPr>
          <w:p w14:paraId="1EF354E8"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Power, Fossil Fuels, Automotive</w:t>
            </w:r>
          </w:p>
        </w:tc>
        <w:tc>
          <w:tcPr>
            <w:tcW w:w="786" w:type="pct"/>
            <w:noWrap/>
            <w:vAlign w:val="center"/>
            <w:hideMark/>
          </w:tcPr>
          <w:p w14:paraId="780CF862"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All*</w:t>
            </w:r>
          </w:p>
        </w:tc>
        <w:tc>
          <w:tcPr>
            <w:tcW w:w="1858" w:type="pct"/>
            <w:vAlign w:val="center"/>
          </w:tcPr>
          <w:p w14:paraId="02F9697B" w14:textId="5499F9D5" w:rsidR="00B9591C" w:rsidRPr="00E75C4C" w:rsidRDefault="00AE0FD9"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Pathway if all new policies come into place in an effective manner</w:t>
            </w:r>
          </w:p>
        </w:tc>
      </w:tr>
      <w:tr w:rsidR="00B9591C" w:rsidRPr="000E7CC9" w14:paraId="396A4E9C" w14:textId="35504836" w:rsidTr="00714CC1">
        <w:trPr>
          <w:trHeight w:val="290"/>
        </w:trPr>
        <w:tc>
          <w:tcPr>
            <w:cnfStyle w:val="001000000000" w:firstRow="0" w:lastRow="0" w:firstColumn="1" w:lastColumn="0" w:oddVBand="0" w:evenVBand="0" w:oddHBand="0" w:evenHBand="0" w:firstRowFirstColumn="0" w:firstRowLastColumn="0" w:lastRowFirstColumn="0" w:lastRowLastColumn="0"/>
            <w:tcW w:w="706" w:type="pct"/>
            <w:gridSpan w:val="2"/>
            <w:shd w:val="clear" w:color="auto" w:fill="F2F2F2" w:themeFill="background1" w:themeFillShade="F2"/>
            <w:noWrap/>
            <w:vAlign w:val="center"/>
            <w:hideMark/>
          </w:tcPr>
          <w:p w14:paraId="6B41D530" w14:textId="77777777" w:rsidR="00B9591C" w:rsidRPr="000E7CC9" w:rsidRDefault="00B9591C" w:rsidP="000E7CC9">
            <w:pPr>
              <w:pStyle w:val="BodyText"/>
              <w:jc w:val="center"/>
              <w:rPr>
                <w:b w:val="0"/>
              </w:rPr>
            </w:pPr>
            <w:r w:rsidRPr="000E7CC9">
              <w:rPr>
                <w:b w:val="0"/>
              </w:rPr>
              <w:t>IEA</w:t>
            </w:r>
          </w:p>
        </w:tc>
        <w:tc>
          <w:tcPr>
            <w:tcW w:w="865" w:type="pct"/>
            <w:shd w:val="clear" w:color="auto" w:fill="F2F2F2" w:themeFill="background1" w:themeFillShade="F2"/>
            <w:noWrap/>
            <w:vAlign w:val="center"/>
            <w:hideMark/>
          </w:tcPr>
          <w:p w14:paraId="579C7D22" w14:textId="77777777" w:rsidR="00B9591C" w:rsidRPr="00E75C4C" w:rsidRDefault="00B9591C"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CPS (current policies)</w:t>
            </w:r>
          </w:p>
        </w:tc>
        <w:tc>
          <w:tcPr>
            <w:tcW w:w="786" w:type="pct"/>
            <w:shd w:val="clear" w:color="auto" w:fill="F2F2F2" w:themeFill="background1" w:themeFillShade="F2"/>
            <w:noWrap/>
            <w:vAlign w:val="center"/>
            <w:hideMark/>
          </w:tcPr>
          <w:p w14:paraId="2979745E" w14:textId="77777777" w:rsidR="00B9591C" w:rsidRPr="00E75C4C" w:rsidRDefault="00B9591C"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Power, Fossil Fuels, Automotive</w:t>
            </w:r>
          </w:p>
        </w:tc>
        <w:tc>
          <w:tcPr>
            <w:tcW w:w="786" w:type="pct"/>
            <w:shd w:val="clear" w:color="auto" w:fill="F2F2F2" w:themeFill="background1" w:themeFillShade="F2"/>
            <w:noWrap/>
            <w:vAlign w:val="center"/>
            <w:hideMark/>
          </w:tcPr>
          <w:p w14:paraId="33720D05" w14:textId="77777777" w:rsidR="00B9591C" w:rsidRPr="00E75C4C" w:rsidRDefault="00B9591C"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All*</w:t>
            </w:r>
          </w:p>
        </w:tc>
        <w:tc>
          <w:tcPr>
            <w:tcW w:w="1858" w:type="pct"/>
            <w:shd w:val="clear" w:color="auto" w:fill="F2F2F2" w:themeFill="background1" w:themeFillShade="F2"/>
            <w:vAlign w:val="center"/>
          </w:tcPr>
          <w:p w14:paraId="63EEFFC2" w14:textId="419F0226" w:rsidR="00AE0FD9" w:rsidRPr="00E75C4C" w:rsidRDefault="00AE0FD9" w:rsidP="00E75C4C">
            <w:pPr>
              <w:pStyle w:val="BodyText"/>
              <w:cnfStyle w:val="000000000000" w:firstRow="0" w:lastRow="0" w:firstColumn="0" w:lastColumn="0" w:oddVBand="0" w:evenVBand="0" w:oddHBand="0" w:evenHBand="0" w:firstRowFirstColumn="0" w:firstRowLastColumn="0" w:lastRowFirstColumn="0" w:lastRowLastColumn="0"/>
              <w:rPr>
                <w:szCs w:val="18"/>
              </w:rPr>
            </w:pPr>
            <w:r w:rsidRPr="00E75C4C">
              <w:rPr>
                <w:szCs w:val="18"/>
              </w:rPr>
              <w:t>Business as usual case without any changes in policies</w:t>
            </w:r>
          </w:p>
        </w:tc>
      </w:tr>
      <w:tr w:rsidR="00B9591C" w:rsidRPr="000E7CC9" w14:paraId="2A1BBD97" w14:textId="62D69289" w:rsidTr="00714CC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06" w:type="pct"/>
            <w:gridSpan w:val="2"/>
            <w:noWrap/>
            <w:vAlign w:val="center"/>
            <w:hideMark/>
          </w:tcPr>
          <w:p w14:paraId="3E568FB0" w14:textId="77777777" w:rsidR="00B9591C" w:rsidRPr="000E7CC9" w:rsidRDefault="00B9591C" w:rsidP="000E7CC9">
            <w:pPr>
              <w:pStyle w:val="BodyText"/>
              <w:jc w:val="center"/>
              <w:rPr>
                <w:b w:val="0"/>
              </w:rPr>
            </w:pPr>
            <w:r w:rsidRPr="000E7CC9">
              <w:rPr>
                <w:b w:val="0"/>
              </w:rPr>
              <w:t>Greenpeace</w:t>
            </w:r>
          </w:p>
        </w:tc>
        <w:tc>
          <w:tcPr>
            <w:tcW w:w="865" w:type="pct"/>
            <w:noWrap/>
            <w:vAlign w:val="center"/>
            <w:hideMark/>
          </w:tcPr>
          <w:p w14:paraId="19D324B0"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Energy [R]evolution (2°C)</w:t>
            </w:r>
          </w:p>
        </w:tc>
        <w:tc>
          <w:tcPr>
            <w:tcW w:w="786" w:type="pct"/>
            <w:noWrap/>
            <w:vAlign w:val="center"/>
            <w:hideMark/>
          </w:tcPr>
          <w:p w14:paraId="54332DEE"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Power</w:t>
            </w:r>
          </w:p>
        </w:tc>
        <w:tc>
          <w:tcPr>
            <w:tcW w:w="786" w:type="pct"/>
            <w:noWrap/>
            <w:vAlign w:val="center"/>
            <w:hideMark/>
          </w:tcPr>
          <w:p w14:paraId="4A75F3EE"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r w:rsidRPr="00E75C4C">
              <w:rPr>
                <w:szCs w:val="18"/>
              </w:rPr>
              <w:t>All except Europe</w:t>
            </w:r>
          </w:p>
        </w:tc>
        <w:tc>
          <w:tcPr>
            <w:tcW w:w="1858" w:type="pct"/>
            <w:vAlign w:val="center"/>
          </w:tcPr>
          <w:p w14:paraId="5CC08289" w14:textId="77777777" w:rsidR="00B9591C" w:rsidRPr="00E75C4C" w:rsidRDefault="00B9591C" w:rsidP="00E75C4C">
            <w:pPr>
              <w:pStyle w:val="BodyText"/>
              <w:cnfStyle w:val="000000100000" w:firstRow="0" w:lastRow="0" w:firstColumn="0" w:lastColumn="0" w:oddVBand="0" w:evenVBand="0" w:oddHBand="1" w:evenHBand="0" w:firstRowFirstColumn="0" w:firstRowLastColumn="0" w:lastRowFirstColumn="0" w:lastRowLastColumn="0"/>
              <w:rPr>
                <w:szCs w:val="18"/>
              </w:rPr>
            </w:pPr>
          </w:p>
        </w:tc>
      </w:tr>
      <w:tr w:rsidR="00B9591C" w:rsidRPr="000E7CC9" w14:paraId="3C9FE369" w14:textId="605CA9C5" w:rsidTr="00714CC1">
        <w:trPr>
          <w:trHeight w:val="290"/>
        </w:trPr>
        <w:tc>
          <w:tcPr>
            <w:cnfStyle w:val="001000000000" w:firstRow="0" w:lastRow="0" w:firstColumn="1" w:lastColumn="0" w:oddVBand="0" w:evenVBand="0" w:oddHBand="0" w:evenHBand="0" w:firstRowFirstColumn="0" w:firstRowLastColumn="0" w:lastRowFirstColumn="0" w:lastRowLastColumn="0"/>
            <w:tcW w:w="706" w:type="pct"/>
            <w:gridSpan w:val="2"/>
            <w:shd w:val="clear" w:color="auto" w:fill="F2F2F2" w:themeFill="background1" w:themeFillShade="F2"/>
            <w:noWrap/>
            <w:vAlign w:val="center"/>
            <w:hideMark/>
          </w:tcPr>
          <w:p w14:paraId="05451251" w14:textId="77777777" w:rsidR="00B9591C" w:rsidRPr="000E7CC9" w:rsidRDefault="00B9591C" w:rsidP="000E7CC9">
            <w:pPr>
              <w:jc w:val="center"/>
              <w:rPr>
                <w:rFonts w:ascii="Clear Sans Light" w:eastAsia="Times New Roman" w:hAnsi="Clear Sans Light" w:cs="Clear Sans Light"/>
                <w:b w:val="0"/>
                <w:color w:val="000000"/>
                <w:sz w:val="20"/>
              </w:rPr>
            </w:pPr>
            <w:r w:rsidRPr="000E7CC9">
              <w:rPr>
                <w:rFonts w:ascii="Clear Sans Light" w:eastAsia="Times New Roman" w:hAnsi="Clear Sans Light" w:cs="Clear Sans Light"/>
                <w:b w:val="0"/>
                <w:color w:val="000000"/>
                <w:sz w:val="20"/>
              </w:rPr>
              <w:t>Bloomberg</w:t>
            </w:r>
          </w:p>
        </w:tc>
        <w:tc>
          <w:tcPr>
            <w:tcW w:w="865" w:type="pct"/>
            <w:shd w:val="clear" w:color="auto" w:fill="F2F2F2" w:themeFill="background1" w:themeFillShade="F2"/>
            <w:noWrap/>
            <w:vAlign w:val="center"/>
            <w:hideMark/>
          </w:tcPr>
          <w:p w14:paraId="45DC5357" w14:textId="77777777" w:rsidR="00B9591C" w:rsidRPr="00E75C4C" w:rsidRDefault="00B9591C"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BNEF (reference scenario)</w:t>
            </w:r>
          </w:p>
        </w:tc>
        <w:tc>
          <w:tcPr>
            <w:tcW w:w="786" w:type="pct"/>
            <w:shd w:val="clear" w:color="auto" w:fill="F2F2F2" w:themeFill="background1" w:themeFillShade="F2"/>
            <w:noWrap/>
            <w:vAlign w:val="center"/>
            <w:hideMark/>
          </w:tcPr>
          <w:p w14:paraId="30760700" w14:textId="77777777" w:rsidR="00B9591C" w:rsidRPr="00E75C4C" w:rsidRDefault="00B9591C"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Power</w:t>
            </w:r>
          </w:p>
        </w:tc>
        <w:tc>
          <w:tcPr>
            <w:tcW w:w="786" w:type="pct"/>
            <w:shd w:val="clear" w:color="auto" w:fill="F2F2F2" w:themeFill="background1" w:themeFillShade="F2"/>
            <w:noWrap/>
            <w:vAlign w:val="center"/>
            <w:hideMark/>
          </w:tcPr>
          <w:p w14:paraId="3AF74F09" w14:textId="77777777" w:rsidR="00B9591C" w:rsidRPr="00E75C4C" w:rsidRDefault="00B9591C"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Global, North America, Europe</w:t>
            </w:r>
          </w:p>
        </w:tc>
        <w:tc>
          <w:tcPr>
            <w:tcW w:w="1858" w:type="pct"/>
            <w:shd w:val="clear" w:color="auto" w:fill="F2F2F2" w:themeFill="background1" w:themeFillShade="F2"/>
            <w:vAlign w:val="center"/>
          </w:tcPr>
          <w:p w14:paraId="5DE9C8E6" w14:textId="4CA594C9" w:rsidR="00B9591C" w:rsidRPr="00E75C4C" w:rsidRDefault="00B9591C"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rPr>
            </w:pPr>
          </w:p>
        </w:tc>
      </w:tr>
      <w:tr w:rsidR="00B9591C" w:rsidRPr="000E7CC9" w14:paraId="3F07245F" w14:textId="6CCD13B1" w:rsidTr="00714C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6" w:type="pct"/>
            <w:gridSpan w:val="2"/>
            <w:noWrap/>
            <w:vAlign w:val="center"/>
            <w:hideMark/>
          </w:tcPr>
          <w:p w14:paraId="5CE4167F" w14:textId="77777777" w:rsidR="00B9591C" w:rsidRPr="000E7CC9" w:rsidRDefault="00B9591C" w:rsidP="000E7CC9">
            <w:pPr>
              <w:jc w:val="center"/>
              <w:rPr>
                <w:rFonts w:ascii="Clear Sans Light" w:eastAsia="Times New Roman" w:hAnsi="Clear Sans Light" w:cs="Clear Sans Light"/>
                <w:b w:val="0"/>
                <w:color w:val="000000"/>
                <w:sz w:val="20"/>
              </w:rPr>
            </w:pPr>
            <w:r w:rsidRPr="000E7CC9">
              <w:rPr>
                <w:rFonts w:ascii="Clear Sans Light" w:eastAsia="Times New Roman" w:hAnsi="Clear Sans Light" w:cs="Clear Sans Light"/>
                <w:b w:val="0"/>
                <w:color w:val="000000"/>
                <w:sz w:val="20"/>
              </w:rPr>
              <w:t>SBTI</w:t>
            </w:r>
          </w:p>
        </w:tc>
        <w:tc>
          <w:tcPr>
            <w:tcW w:w="865" w:type="pct"/>
            <w:noWrap/>
            <w:vAlign w:val="center"/>
            <w:hideMark/>
          </w:tcPr>
          <w:p w14:paraId="354000CC" w14:textId="77777777" w:rsidR="00B9591C" w:rsidRPr="00E75C4C" w:rsidRDefault="00B9591C" w:rsidP="00E75C4C">
            <w:pPr>
              <w:jc w:val="left"/>
              <w:cnfStyle w:val="000000100000" w:firstRow="0" w:lastRow="0" w:firstColumn="0" w:lastColumn="0" w:oddVBand="0" w:evenVBand="0" w:oddHBand="1"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SBTI (2°C)</w:t>
            </w:r>
          </w:p>
        </w:tc>
        <w:tc>
          <w:tcPr>
            <w:tcW w:w="786" w:type="pct"/>
            <w:noWrap/>
            <w:vAlign w:val="center"/>
            <w:hideMark/>
          </w:tcPr>
          <w:p w14:paraId="736B52D8" w14:textId="77777777" w:rsidR="00B9591C" w:rsidRPr="00E75C4C" w:rsidRDefault="00B9591C" w:rsidP="00E75C4C">
            <w:pPr>
              <w:jc w:val="left"/>
              <w:cnfStyle w:val="000000100000" w:firstRow="0" w:lastRow="0" w:firstColumn="0" w:lastColumn="0" w:oddVBand="0" w:evenVBand="0" w:oddHBand="1"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Steel, Aviation, Shipping, Cement</w:t>
            </w:r>
          </w:p>
        </w:tc>
        <w:tc>
          <w:tcPr>
            <w:tcW w:w="786" w:type="pct"/>
            <w:noWrap/>
            <w:vAlign w:val="center"/>
            <w:hideMark/>
          </w:tcPr>
          <w:p w14:paraId="77562645" w14:textId="77777777" w:rsidR="00B9591C" w:rsidRPr="00E75C4C" w:rsidRDefault="00B9591C" w:rsidP="00E75C4C">
            <w:pPr>
              <w:jc w:val="left"/>
              <w:cnfStyle w:val="000000100000" w:firstRow="0" w:lastRow="0" w:firstColumn="0" w:lastColumn="0" w:oddVBand="0" w:evenVBand="0" w:oddHBand="1" w:evenHBand="0" w:firstRowFirstColumn="0" w:firstRowLastColumn="0" w:lastRowFirstColumn="0" w:lastRowLastColumn="0"/>
              <w:rPr>
                <w:rFonts w:ascii="Clear Sans Light" w:eastAsia="Times New Roman" w:hAnsi="Clear Sans Light" w:cs="Clear Sans Light"/>
                <w:color w:val="000000"/>
                <w:sz w:val="18"/>
                <w:szCs w:val="18"/>
              </w:rPr>
            </w:pPr>
            <w:r w:rsidRPr="00E75C4C">
              <w:rPr>
                <w:rFonts w:ascii="Clear Sans Light" w:eastAsia="Times New Roman" w:hAnsi="Clear Sans Light" w:cs="Clear Sans Light"/>
                <w:color w:val="000000"/>
                <w:sz w:val="18"/>
                <w:szCs w:val="18"/>
              </w:rPr>
              <w:t>Global only</w:t>
            </w:r>
          </w:p>
        </w:tc>
        <w:tc>
          <w:tcPr>
            <w:tcW w:w="1858" w:type="pct"/>
            <w:vAlign w:val="center"/>
          </w:tcPr>
          <w:p w14:paraId="12795BF9" w14:textId="77777777" w:rsidR="00B9591C" w:rsidRPr="00E75C4C" w:rsidRDefault="00B9591C" w:rsidP="00E75C4C">
            <w:pPr>
              <w:jc w:val="left"/>
              <w:cnfStyle w:val="000000100000" w:firstRow="0" w:lastRow="0" w:firstColumn="0" w:lastColumn="0" w:oddVBand="0" w:evenVBand="0" w:oddHBand="1" w:evenHBand="0" w:firstRowFirstColumn="0" w:firstRowLastColumn="0" w:lastRowFirstColumn="0" w:lastRowLastColumn="0"/>
              <w:rPr>
                <w:rFonts w:ascii="Clear Sans Light" w:eastAsia="Times New Roman" w:hAnsi="Clear Sans Light" w:cs="Clear Sans Light"/>
                <w:color w:val="000000"/>
                <w:sz w:val="18"/>
                <w:szCs w:val="18"/>
              </w:rPr>
            </w:pPr>
          </w:p>
        </w:tc>
      </w:tr>
      <w:tr w:rsidR="00CA79BA" w:rsidRPr="000E7CC9" w14:paraId="515AA418" w14:textId="77777777" w:rsidTr="00714CC1">
        <w:trPr>
          <w:trHeight w:val="290"/>
        </w:trPr>
        <w:tc>
          <w:tcPr>
            <w:cnfStyle w:val="001000000000" w:firstRow="0" w:lastRow="0" w:firstColumn="1" w:lastColumn="0" w:oddVBand="0" w:evenVBand="0" w:oddHBand="0" w:evenHBand="0" w:firstRowFirstColumn="0" w:firstRowLastColumn="0" w:lastRowFirstColumn="0" w:lastRowLastColumn="0"/>
            <w:tcW w:w="706" w:type="pct"/>
            <w:gridSpan w:val="2"/>
            <w:shd w:val="clear" w:color="auto" w:fill="F2F2F2" w:themeFill="background1" w:themeFillShade="F2"/>
            <w:noWrap/>
            <w:vAlign w:val="center"/>
          </w:tcPr>
          <w:p w14:paraId="162FD9E9" w14:textId="299EBF33" w:rsidR="00CA79BA" w:rsidRPr="000E7CC9" w:rsidRDefault="00CA79BA" w:rsidP="000E7CC9">
            <w:pPr>
              <w:jc w:val="center"/>
              <w:rPr>
                <w:rFonts w:ascii="Clear Sans Light" w:eastAsia="Times New Roman" w:hAnsi="Clear Sans Light" w:cs="Clear Sans Light"/>
                <w:b w:val="0"/>
                <w:bCs w:val="0"/>
                <w:color w:val="000000"/>
                <w:sz w:val="20"/>
                <w:lang w:val="de-DE"/>
              </w:rPr>
            </w:pPr>
            <w:r w:rsidRPr="000E7CC9">
              <w:rPr>
                <w:rFonts w:ascii="Clear Sans Light" w:eastAsia="Times New Roman" w:hAnsi="Clear Sans Light" w:cs="Clear Sans Light"/>
                <w:b w:val="0"/>
                <w:bCs w:val="0"/>
                <w:color w:val="000000"/>
                <w:sz w:val="20"/>
                <w:lang w:val="de-DE"/>
              </w:rPr>
              <w:t>IIASA**</w:t>
            </w:r>
          </w:p>
        </w:tc>
        <w:tc>
          <w:tcPr>
            <w:tcW w:w="865" w:type="pct"/>
            <w:shd w:val="clear" w:color="auto" w:fill="F2F2F2" w:themeFill="background1" w:themeFillShade="F2"/>
            <w:noWrap/>
            <w:vAlign w:val="center"/>
          </w:tcPr>
          <w:p w14:paraId="44C77E82" w14:textId="43A57EC5" w:rsidR="00CA79BA" w:rsidRPr="00E75C4C" w:rsidRDefault="00CA79BA"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lang w:val="de-DE"/>
              </w:rPr>
            </w:pPr>
            <w:r w:rsidRPr="00E75C4C">
              <w:rPr>
                <w:rFonts w:ascii="Clear Sans Light" w:eastAsia="Times New Roman" w:hAnsi="Clear Sans Light" w:cs="Clear Sans Light"/>
                <w:color w:val="000000"/>
                <w:sz w:val="18"/>
                <w:szCs w:val="18"/>
                <w:lang w:val="de-DE"/>
              </w:rPr>
              <w:t>Range of scenarios</w:t>
            </w:r>
          </w:p>
        </w:tc>
        <w:tc>
          <w:tcPr>
            <w:tcW w:w="786" w:type="pct"/>
            <w:shd w:val="clear" w:color="auto" w:fill="F2F2F2" w:themeFill="background1" w:themeFillShade="F2"/>
            <w:noWrap/>
            <w:vAlign w:val="center"/>
          </w:tcPr>
          <w:p w14:paraId="344D2A47" w14:textId="35938437" w:rsidR="00CA79BA" w:rsidRPr="00E75C4C" w:rsidRDefault="00CA79BA"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lang w:val="de-DE"/>
              </w:rPr>
            </w:pPr>
            <w:r w:rsidRPr="00E75C4C">
              <w:rPr>
                <w:rFonts w:ascii="Clear Sans Light" w:eastAsia="Times New Roman" w:hAnsi="Clear Sans Light" w:cs="Clear Sans Light"/>
                <w:color w:val="000000"/>
                <w:sz w:val="18"/>
                <w:szCs w:val="18"/>
                <w:lang w:val="de-DE"/>
              </w:rPr>
              <w:t>All sectors</w:t>
            </w:r>
          </w:p>
        </w:tc>
        <w:tc>
          <w:tcPr>
            <w:tcW w:w="786" w:type="pct"/>
            <w:shd w:val="clear" w:color="auto" w:fill="F2F2F2" w:themeFill="background1" w:themeFillShade="F2"/>
            <w:noWrap/>
            <w:vAlign w:val="center"/>
          </w:tcPr>
          <w:p w14:paraId="0F5BB299" w14:textId="0C0FF67C" w:rsidR="00CA79BA" w:rsidRPr="00E75C4C" w:rsidRDefault="00CA79BA"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lang w:val="de-DE"/>
              </w:rPr>
            </w:pPr>
            <w:r w:rsidRPr="00E75C4C">
              <w:rPr>
                <w:rFonts w:ascii="Clear Sans Light" w:eastAsia="Times New Roman" w:hAnsi="Clear Sans Light" w:cs="Clear Sans Light"/>
                <w:color w:val="000000"/>
                <w:sz w:val="18"/>
                <w:szCs w:val="18"/>
                <w:lang w:val="de-DE"/>
              </w:rPr>
              <w:t>All regions</w:t>
            </w:r>
          </w:p>
        </w:tc>
        <w:tc>
          <w:tcPr>
            <w:tcW w:w="1858" w:type="pct"/>
            <w:shd w:val="clear" w:color="auto" w:fill="F2F2F2" w:themeFill="background1" w:themeFillShade="F2"/>
            <w:vAlign w:val="center"/>
          </w:tcPr>
          <w:p w14:paraId="4BDF5207" w14:textId="1572ADEB" w:rsidR="00CA79BA" w:rsidRPr="00E75C4C" w:rsidRDefault="00CA79BA" w:rsidP="00E75C4C">
            <w:pPr>
              <w:jc w:val="left"/>
              <w:cnfStyle w:val="000000000000" w:firstRow="0" w:lastRow="0" w:firstColumn="0" w:lastColumn="0" w:oddVBand="0" w:evenVBand="0" w:oddHBand="0" w:evenHBand="0" w:firstRowFirstColumn="0" w:firstRowLastColumn="0" w:lastRowFirstColumn="0" w:lastRowLastColumn="0"/>
              <w:rPr>
                <w:rFonts w:ascii="Clear Sans Light" w:eastAsia="Times New Roman" w:hAnsi="Clear Sans Light" w:cs="Clear Sans Light"/>
                <w:color w:val="000000"/>
                <w:sz w:val="18"/>
                <w:szCs w:val="18"/>
              </w:rPr>
            </w:pPr>
          </w:p>
        </w:tc>
      </w:tr>
    </w:tbl>
    <w:p w14:paraId="7673FF36" w14:textId="77777777" w:rsidR="00CA79BA" w:rsidRPr="00196F73" w:rsidRDefault="00CA79BA" w:rsidP="00196F73">
      <w:pPr>
        <w:pStyle w:val="BodyText"/>
      </w:pPr>
      <w:r w:rsidRPr="00196F73">
        <w:t xml:space="preserve">*depending on the sector, i.e. Automotive is a global sector and thus only global values are available </w:t>
      </w:r>
    </w:p>
    <w:p w14:paraId="4B936923" w14:textId="06FE02B7" w:rsidR="000B4967" w:rsidRDefault="00CA79BA" w:rsidP="000B4967">
      <w:pPr>
        <w:pStyle w:val="BodyText"/>
      </w:pPr>
      <w:r w:rsidRPr="00196F73">
        <w:t>**will be added in the short future</w:t>
      </w:r>
    </w:p>
    <w:p w14:paraId="0C772C39" w14:textId="25217094" w:rsidR="00D02D46" w:rsidRPr="00270F1D" w:rsidRDefault="00D02D46" w:rsidP="00BB56DA">
      <w:pPr>
        <w:pStyle w:val="Heading4"/>
        <w:rPr>
          <w:rFonts w:ascii="Clear Sans" w:hAnsi="Clear Sans" w:cs="Clear Sans"/>
        </w:rPr>
      </w:pPr>
      <w:r w:rsidRPr="00270F1D">
        <w:rPr>
          <w:rFonts w:ascii="Clear Sans" w:hAnsi="Clear Sans" w:cs="Clear Sans"/>
        </w:rPr>
        <w:t>Accounting Principle</w:t>
      </w:r>
    </w:p>
    <w:p w14:paraId="66E88013" w14:textId="616E8819" w:rsidR="002B205C" w:rsidRPr="00270F1D" w:rsidRDefault="00CA79BA" w:rsidP="002B205C">
      <w:pPr>
        <w:rPr>
          <w:rFonts w:ascii="Clear Sans" w:hAnsi="Clear Sans" w:cs="Clear Sans"/>
        </w:rPr>
      </w:pPr>
      <w:r w:rsidRPr="00270F1D">
        <w:rPr>
          <w:rFonts w:ascii="Clear Sans" w:hAnsi="Clear Sans" w:cs="Clear Sans"/>
        </w:rPr>
        <w:t>T</w:t>
      </w:r>
      <w:r w:rsidR="002B205C" w:rsidRPr="00270F1D">
        <w:rPr>
          <w:rFonts w:ascii="Clear Sans" w:hAnsi="Clear Sans" w:cs="Clear Sans"/>
        </w:rPr>
        <w:t>wo different</w:t>
      </w:r>
      <w:r w:rsidRPr="00270F1D">
        <w:rPr>
          <w:rFonts w:ascii="Clear Sans" w:hAnsi="Clear Sans" w:cs="Clear Sans"/>
        </w:rPr>
        <w:t xml:space="preserve"> </w:t>
      </w:r>
      <w:r w:rsidR="002B205C" w:rsidRPr="00270F1D">
        <w:rPr>
          <w:rFonts w:ascii="Clear Sans" w:hAnsi="Clear Sans" w:cs="Clear Sans"/>
        </w:rPr>
        <w:t>a</w:t>
      </w:r>
      <w:r w:rsidRPr="00270F1D">
        <w:rPr>
          <w:rFonts w:ascii="Clear Sans" w:hAnsi="Clear Sans" w:cs="Clear Sans"/>
        </w:rPr>
        <w:t>ccounting principle</w:t>
      </w:r>
      <w:r w:rsidR="002B205C" w:rsidRPr="00270F1D">
        <w:rPr>
          <w:rFonts w:ascii="Clear Sans" w:hAnsi="Clear Sans" w:cs="Clear Sans"/>
        </w:rPr>
        <w:t xml:space="preserve">s can </w:t>
      </w:r>
      <w:r w:rsidR="00AE0FD9" w:rsidRPr="00270F1D">
        <w:rPr>
          <w:rFonts w:ascii="Clear Sans" w:hAnsi="Clear Sans" w:cs="Clear Sans"/>
        </w:rPr>
        <w:t xml:space="preserve">be applied </w:t>
      </w:r>
      <w:r w:rsidR="002B205C" w:rsidRPr="00270F1D">
        <w:rPr>
          <w:rFonts w:ascii="Clear Sans" w:hAnsi="Clear Sans" w:cs="Clear Sans"/>
        </w:rPr>
        <w:t xml:space="preserve">to </w:t>
      </w:r>
      <w:r w:rsidR="000B4967">
        <w:rPr>
          <w:rFonts w:ascii="Clear Sans" w:hAnsi="Clear Sans" w:cs="Clear Sans"/>
        </w:rPr>
        <w:t>“allocate” production and capacity build out plans to a portfolio</w:t>
      </w:r>
      <w:r w:rsidR="002B205C" w:rsidRPr="00270F1D">
        <w:rPr>
          <w:rFonts w:ascii="Clear Sans" w:hAnsi="Clear Sans" w:cs="Clear Sans"/>
        </w:rPr>
        <w:t>:</w:t>
      </w:r>
    </w:p>
    <w:p w14:paraId="2DB0F534" w14:textId="2FAD6794" w:rsidR="00520C14" w:rsidRPr="001323BA" w:rsidRDefault="00DE7D85" w:rsidP="00520C14">
      <w:pPr>
        <w:pStyle w:val="ListParagraph"/>
        <w:numPr>
          <w:ilvl w:val="0"/>
          <w:numId w:val="30"/>
        </w:numPr>
      </w:pPr>
      <w:r w:rsidRPr="001323BA">
        <w:t xml:space="preserve">Portfolio Weight approach. </w:t>
      </w:r>
      <w:r w:rsidR="009D53D5" w:rsidRPr="001323BA">
        <w:t>This approach calculates the portfolios technology exposures based on the weighting of each position within the portfolio</w:t>
      </w:r>
      <w:r w:rsidR="00AE0FD9" w:rsidRPr="001323BA">
        <w:t xml:space="preserve">. The </w:t>
      </w:r>
      <w:r w:rsidR="009D53D5" w:rsidRPr="001323BA">
        <w:t>technology exposure</w:t>
      </w:r>
      <w:r w:rsidR="00AE0FD9" w:rsidRPr="001323BA">
        <w:t xml:space="preserve"> is presented</w:t>
      </w:r>
      <w:r w:rsidR="009D53D5" w:rsidRPr="001323BA">
        <w:t xml:space="preserve"> in weighted technology share (i.e. percentage values). The weighting of the technology share is done by the weight of the company in the portfolio</w:t>
      </w:r>
      <w:r w:rsidR="00BC6040" w:rsidRPr="001323BA">
        <w:t>;</w:t>
      </w:r>
    </w:p>
    <w:p w14:paraId="26CE5E54" w14:textId="02A01FE4" w:rsidR="009D53D5" w:rsidRPr="001323BA" w:rsidRDefault="00DE7D85" w:rsidP="001323BA">
      <w:pPr>
        <w:pStyle w:val="ListParagraph"/>
        <w:numPr>
          <w:ilvl w:val="0"/>
          <w:numId w:val="30"/>
        </w:numPr>
      </w:pPr>
      <w:r w:rsidRPr="001323BA">
        <w:t xml:space="preserve">Ownership approach. </w:t>
      </w:r>
      <w:r w:rsidR="009D53D5" w:rsidRPr="001323BA">
        <w:t>This approach calculates the technology exposure based on the portfolios ownership in companies. The technology exposure is presented in absolute values (e.g. oil production in barrels of oils per day)</w:t>
      </w:r>
      <w:r w:rsidR="00F43524" w:rsidRPr="001323BA">
        <w:t xml:space="preserve">. </w:t>
      </w:r>
      <w:r w:rsidR="009D53D5" w:rsidRPr="001323BA">
        <w:t xml:space="preserve">The ownership approach is not available for corporate bond portfolios mainly for the following reasons: </w:t>
      </w:r>
    </w:p>
    <w:p w14:paraId="27DD9A56" w14:textId="3BD4BFAF" w:rsidR="00F43524" w:rsidRPr="001323BA" w:rsidRDefault="00F43524" w:rsidP="001323BA">
      <w:pPr>
        <w:pStyle w:val="ListParagraph"/>
        <w:numPr>
          <w:ilvl w:val="1"/>
          <w:numId w:val="30"/>
        </w:numPr>
      </w:pPr>
      <w:r w:rsidRPr="001323BA">
        <w:rPr>
          <w:rStyle w:val="Strong"/>
        </w:rPr>
        <w:t>Characteristic of bonds.</w:t>
      </w:r>
      <w:r w:rsidRPr="001323BA">
        <w:t xml:space="preserve"> Bond and other credit instruments are financing instruments rather than ownership instruments. Thus, using an ownership approach per se is counter-intuitive;</w:t>
      </w:r>
    </w:p>
    <w:p w14:paraId="1BC89FD3" w14:textId="2D775E8F" w:rsidR="009D53D5" w:rsidRPr="001323BA" w:rsidRDefault="009D53D5" w:rsidP="001323BA">
      <w:pPr>
        <w:pStyle w:val="ListParagraph"/>
        <w:numPr>
          <w:ilvl w:val="1"/>
          <w:numId w:val="30"/>
        </w:numPr>
      </w:pPr>
      <w:r w:rsidRPr="001323BA">
        <w:rPr>
          <w:rStyle w:val="Strong"/>
        </w:rPr>
        <w:t>High volatility of results.</w:t>
      </w:r>
      <w:r w:rsidRPr="001323BA">
        <w:t xml:space="preserve"> For credit portfolios the ownership approach would lead to highly volatile results as th</w:t>
      </w:r>
      <w:r w:rsidR="00F43524" w:rsidRPr="001323BA">
        <w:t xml:space="preserve">e </w:t>
      </w:r>
      <w:r w:rsidRPr="001323BA">
        <w:t>total debt</w:t>
      </w:r>
      <w:r w:rsidR="00F43524" w:rsidRPr="001323BA">
        <w:t xml:space="preserve"> outstanding as well as other potential denominators for the ownership calculation </w:t>
      </w:r>
      <w:r w:rsidRPr="001323BA">
        <w:t>frequently change</w:t>
      </w:r>
      <w:r w:rsidR="00F43524" w:rsidRPr="001323BA">
        <w:t xml:space="preserve"> due to companies issuing new debt on a regular basis</w:t>
      </w:r>
      <w:r w:rsidR="00BC6040" w:rsidRPr="001323BA">
        <w:t>;</w:t>
      </w:r>
    </w:p>
    <w:p w14:paraId="32411F1F" w14:textId="38C52AA6" w:rsidR="009D53D5" w:rsidRPr="001323BA" w:rsidRDefault="00F43524" w:rsidP="001323BA">
      <w:pPr>
        <w:pStyle w:val="ListParagraph"/>
        <w:numPr>
          <w:ilvl w:val="1"/>
          <w:numId w:val="30"/>
        </w:numPr>
      </w:pPr>
      <w:r w:rsidRPr="001323BA">
        <w:rPr>
          <w:rStyle w:val="Strong"/>
        </w:rPr>
        <w:lastRenderedPageBreak/>
        <w:t>Counter-</w:t>
      </w:r>
      <w:r w:rsidR="009D53D5" w:rsidRPr="001323BA">
        <w:rPr>
          <w:rStyle w:val="Strong"/>
        </w:rPr>
        <w:t>intuitive twist: more debt, less risk.</w:t>
      </w:r>
      <w:r w:rsidR="009D53D5" w:rsidRPr="001323BA">
        <w:t xml:space="preserve"> </w:t>
      </w:r>
      <w:r w:rsidRPr="001323BA">
        <w:t>The ownership approach would lead to a decrease in ownership share by the investor w</w:t>
      </w:r>
      <w:r w:rsidR="009D53D5" w:rsidRPr="001323BA">
        <w:t>hen a company issues more debt</w:t>
      </w:r>
      <w:r w:rsidRPr="001323BA">
        <w:t xml:space="preserve">. While this </w:t>
      </w:r>
      <w:r w:rsidR="009D53D5" w:rsidRPr="001323BA">
        <w:t xml:space="preserve">makes </w:t>
      </w:r>
      <w:r w:rsidR="00FA682B" w:rsidRPr="001323BA">
        <w:t>sense,</w:t>
      </w:r>
      <w:r w:rsidRPr="001323BA">
        <w:t xml:space="preserve"> it would also lead to a decreased </w:t>
      </w:r>
      <w:r w:rsidR="009D53D5" w:rsidRPr="001323BA">
        <w:t xml:space="preserve">risk </w:t>
      </w:r>
      <w:r w:rsidRPr="001323BA">
        <w:t xml:space="preserve">exposure </w:t>
      </w:r>
      <w:r w:rsidR="009D53D5" w:rsidRPr="001323BA">
        <w:t>for brown technologies</w:t>
      </w:r>
      <w:r w:rsidRPr="001323BA">
        <w:t xml:space="preserve"> (the portfolio would be less exposed to brown technologies and thus be less exposed to </w:t>
      </w:r>
      <w:r w:rsidR="00FA682B" w:rsidRPr="001323BA">
        <w:t>risks</w:t>
      </w:r>
      <w:r w:rsidRPr="001323BA">
        <w:t>)</w:t>
      </w:r>
      <w:r w:rsidR="009D53D5" w:rsidRPr="001323BA">
        <w:t xml:space="preserve">. However, </w:t>
      </w:r>
      <w:proofErr w:type="gramStart"/>
      <w:r w:rsidR="009D53D5" w:rsidRPr="001323BA">
        <w:t>in reality the</w:t>
      </w:r>
      <w:proofErr w:type="gramEnd"/>
      <w:r w:rsidR="009D53D5" w:rsidRPr="001323BA">
        <w:t xml:space="preserve"> risk would increase with higher debt. This is not a problem for equity as the outstanding shares do not change frequently, and the ownership as well as risk really decreases/increases with the percentage of shares a portfolio owns</w:t>
      </w:r>
      <w:r w:rsidR="00BC6040" w:rsidRPr="001323BA">
        <w:t>;</w:t>
      </w:r>
    </w:p>
    <w:p w14:paraId="6AD60DFA" w14:textId="278B839E" w:rsidR="009D53D5" w:rsidRPr="001323BA" w:rsidRDefault="009D53D5" w:rsidP="001323BA">
      <w:pPr>
        <w:pStyle w:val="ListParagraph"/>
        <w:numPr>
          <w:ilvl w:val="1"/>
          <w:numId w:val="30"/>
        </w:numPr>
      </w:pPr>
      <w:r w:rsidRPr="001323BA">
        <w:t xml:space="preserve">The </w:t>
      </w:r>
      <w:r w:rsidRPr="001323BA">
        <w:rPr>
          <w:rStyle w:val="Strong"/>
        </w:rPr>
        <w:t xml:space="preserve">production intensity </w:t>
      </w:r>
      <w:r w:rsidR="001323BA" w:rsidRPr="001323BA">
        <w:rPr>
          <w:rStyle w:val="Strong"/>
        </w:rPr>
        <w:t>(prod/</w:t>
      </w:r>
      <w:r w:rsidR="00F43524" w:rsidRPr="001323BA">
        <w:rPr>
          <w:rStyle w:val="Strong"/>
        </w:rPr>
        <w:t xml:space="preserve">$) </w:t>
      </w:r>
      <w:r w:rsidRPr="001323BA">
        <w:rPr>
          <w:rStyle w:val="Strong"/>
        </w:rPr>
        <w:t>can significantly differ</w:t>
      </w:r>
      <w:r w:rsidRPr="001323BA">
        <w:t xml:space="preserve"> between companies as their financing mix (debt vs equity) differs. It has been seen that single companies can significantly drive the portfolio level results despite l</w:t>
      </w:r>
      <w:r w:rsidR="00FA682B" w:rsidRPr="001323BA">
        <w:t>ow</w:t>
      </w:r>
      <w:r w:rsidRPr="001323BA">
        <w:t xml:space="preserve"> portfolio weighting.</w:t>
      </w:r>
    </w:p>
    <w:p w14:paraId="38E940B2" w14:textId="700080E8" w:rsidR="00D02D46" w:rsidRPr="00270F1D" w:rsidRDefault="00D02D46" w:rsidP="004479A4">
      <w:pPr>
        <w:pStyle w:val="Heading4"/>
        <w:rPr>
          <w:rFonts w:ascii="Clear Sans" w:hAnsi="Clear Sans" w:cs="Clear Sans"/>
        </w:rPr>
      </w:pPr>
      <w:r w:rsidRPr="00270F1D">
        <w:rPr>
          <w:rFonts w:ascii="Clear Sans" w:hAnsi="Clear Sans" w:cs="Clear Sans"/>
        </w:rPr>
        <w:t>Scenario Geography</w:t>
      </w:r>
    </w:p>
    <w:p w14:paraId="42179ECD" w14:textId="01FA92BB" w:rsidR="00813183" w:rsidRPr="00270F1D" w:rsidRDefault="004479A4" w:rsidP="00F55529">
      <w:pPr>
        <w:rPr>
          <w:rFonts w:ascii="Clear Sans" w:hAnsi="Clear Sans" w:cs="Clear Sans"/>
        </w:rPr>
      </w:pPr>
      <w:r w:rsidRPr="00270F1D">
        <w:rPr>
          <w:rFonts w:ascii="Clear Sans" w:hAnsi="Clear Sans" w:cs="Clear Sans"/>
        </w:rPr>
        <w:t>The sce</w:t>
      </w:r>
      <w:r w:rsidR="00813183" w:rsidRPr="00270F1D">
        <w:rPr>
          <w:rFonts w:ascii="Clear Sans" w:hAnsi="Clear Sans" w:cs="Clear Sans"/>
        </w:rPr>
        <w:t xml:space="preserve">nario geography is based on the asset </w:t>
      </w:r>
      <w:r w:rsidR="00BC6040" w:rsidRPr="00270F1D">
        <w:rPr>
          <w:rFonts w:ascii="Clear Sans" w:hAnsi="Clear Sans" w:cs="Clear Sans"/>
        </w:rPr>
        <w:t>location (i.e.</w:t>
      </w:r>
      <w:r w:rsidR="00813183" w:rsidRPr="00270F1D">
        <w:rPr>
          <w:rFonts w:ascii="Clear Sans" w:hAnsi="Clear Sans" w:cs="Clear Sans"/>
        </w:rPr>
        <w:t xml:space="preserve"> production location</w:t>
      </w:r>
      <w:r w:rsidR="00BC6040" w:rsidRPr="00270F1D">
        <w:rPr>
          <w:rFonts w:ascii="Clear Sans" w:hAnsi="Clear Sans" w:cs="Clear Sans"/>
        </w:rPr>
        <w:t xml:space="preserve">) </w:t>
      </w:r>
      <w:r w:rsidR="00813183" w:rsidRPr="00270F1D">
        <w:rPr>
          <w:rFonts w:ascii="Clear Sans" w:hAnsi="Clear Sans" w:cs="Clear Sans"/>
        </w:rPr>
        <w:t>and allows a deep dive into the regionality of the production</w:t>
      </w:r>
      <w:r w:rsidR="00F55529" w:rsidRPr="00270F1D">
        <w:rPr>
          <w:rFonts w:ascii="Clear Sans" w:hAnsi="Clear Sans" w:cs="Clear Sans"/>
        </w:rPr>
        <w:t>, technology mix and scenario alignment</w:t>
      </w:r>
      <w:r w:rsidR="00813183" w:rsidRPr="00270F1D">
        <w:rPr>
          <w:rFonts w:ascii="Clear Sans" w:hAnsi="Clear Sans" w:cs="Clear Sans"/>
        </w:rPr>
        <w:t xml:space="preserve"> of your portfolio. While the benchmarking of the production is always done at the most granular regional level</w:t>
      </w:r>
      <w:r w:rsidR="00F55529" w:rsidRPr="00270F1D">
        <w:rPr>
          <w:rFonts w:ascii="Clear Sans" w:hAnsi="Clear Sans" w:cs="Clear Sans"/>
        </w:rPr>
        <w:t xml:space="preserve"> that is available to realize the most accurate scenario analysis</w:t>
      </w:r>
      <w:r w:rsidR="00813183" w:rsidRPr="00270F1D">
        <w:rPr>
          <w:rFonts w:ascii="Clear Sans" w:hAnsi="Clear Sans" w:cs="Clear Sans"/>
        </w:rPr>
        <w:t>, the scenario geography selection allows you to deep-dive into regional differences within your portfolio. The available options</w:t>
      </w:r>
      <w:r w:rsidR="00F55529" w:rsidRPr="00270F1D">
        <w:rPr>
          <w:rFonts w:ascii="Clear Sans" w:hAnsi="Clear Sans" w:cs="Clear Sans"/>
        </w:rPr>
        <w:t xml:space="preserve"> are:</w:t>
      </w:r>
    </w:p>
    <w:p w14:paraId="70781201" w14:textId="278AB429" w:rsidR="00813183" w:rsidRPr="00A16D42" w:rsidRDefault="00813183" w:rsidP="00A16D42">
      <w:pPr>
        <w:pStyle w:val="ListParagraph"/>
        <w:numPr>
          <w:ilvl w:val="0"/>
          <w:numId w:val="31"/>
        </w:numPr>
      </w:pPr>
      <w:r w:rsidRPr="00A16D42">
        <w:t>Global</w:t>
      </w:r>
    </w:p>
    <w:p w14:paraId="0F2E6236" w14:textId="7749F8DB" w:rsidR="00813183" w:rsidRPr="00A16D42" w:rsidRDefault="00813183" w:rsidP="00A16D42">
      <w:pPr>
        <w:pStyle w:val="ListParagraph"/>
        <w:numPr>
          <w:ilvl w:val="0"/>
          <w:numId w:val="31"/>
        </w:numPr>
      </w:pPr>
      <w:r w:rsidRPr="00A16D42">
        <w:t>OECD</w:t>
      </w:r>
    </w:p>
    <w:p w14:paraId="6BDCD860" w14:textId="0AFF596A" w:rsidR="00813183" w:rsidRPr="00A16D42" w:rsidRDefault="00813183" w:rsidP="00A16D42">
      <w:pPr>
        <w:pStyle w:val="ListParagraph"/>
        <w:numPr>
          <w:ilvl w:val="0"/>
          <w:numId w:val="31"/>
        </w:numPr>
      </w:pPr>
      <w:r w:rsidRPr="00A16D42">
        <w:t>Non-OECD</w:t>
      </w:r>
    </w:p>
    <w:p w14:paraId="0115E525" w14:textId="7E5F298B" w:rsidR="00813183" w:rsidRPr="00A16D42" w:rsidRDefault="00813183" w:rsidP="00A16D42">
      <w:pPr>
        <w:pStyle w:val="ListParagraph"/>
        <w:numPr>
          <w:ilvl w:val="0"/>
          <w:numId w:val="31"/>
        </w:numPr>
      </w:pPr>
      <w:r w:rsidRPr="00A16D42">
        <w:t>North America</w:t>
      </w:r>
    </w:p>
    <w:p w14:paraId="23C9C70A" w14:textId="6C4225A3" w:rsidR="00813183" w:rsidRPr="00A16D42" w:rsidRDefault="00813183" w:rsidP="00A16D42">
      <w:pPr>
        <w:pStyle w:val="ListParagraph"/>
        <w:numPr>
          <w:ilvl w:val="0"/>
          <w:numId w:val="31"/>
        </w:numPr>
      </w:pPr>
      <w:r w:rsidRPr="00A16D42">
        <w:t>Asia &amp; Pacific</w:t>
      </w:r>
    </w:p>
    <w:p w14:paraId="586B9745" w14:textId="79A6CCF2" w:rsidR="0026029A" w:rsidRPr="00E505E9" w:rsidRDefault="00813183" w:rsidP="00F55529">
      <w:pPr>
        <w:pStyle w:val="ListParagraph"/>
        <w:numPr>
          <w:ilvl w:val="0"/>
          <w:numId w:val="31"/>
        </w:numPr>
      </w:pPr>
      <w:r w:rsidRPr="00A16D42">
        <w:t>Europe</w:t>
      </w:r>
    </w:p>
    <w:p w14:paraId="5760E261" w14:textId="4801A74C" w:rsidR="00317C31" w:rsidRDefault="00813183" w:rsidP="00B205F4">
      <w:pPr>
        <w:rPr>
          <w:rFonts w:ascii="Clear Sans" w:hAnsi="Clear Sans" w:cs="Clear Sans"/>
        </w:rPr>
      </w:pPr>
      <w:r w:rsidRPr="00270F1D">
        <w:rPr>
          <w:rFonts w:ascii="Clear Sans" w:hAnsi="Clear Sans" w:cs="Clear Sans"/>
        </w:rPr>
        <w:t xml:space="preserve">The regional granularity of the scenarios differs for each sector: the automotive sector, for example, only has one target as it is a global sector; whereas the power sector </w:t>
      </w:r>
      <w:r w:rsidR="00F55529" w:rsidRPr="00270F1D">
        <w:rPr>
          <w:rFonts w:ascii="Clear Sans" w:hAnsi="Clear Sans" w:cs="Clear Sans"/>
        </w:rPr>
        <w:t xml:space="preserve">in some scenarios </w:t>
      </w:r>
      <w:r w:rsidRPr="00270F1D">
        <w:rPr>
          <w:rFonts w:ascii="Clear Sans" w:hAnsi="Clear Sans" w:cs="Clear Sans"/>
        </w:rPr>
        <w:t>has regional</w:t>
      </w:r>
      <w:r w:rsidR="00F55529" w:rsidRPr="00270F1D">
        <w:rPr>
          <w:rFonts w:ascii="Clear Sans" w:hAnsi="Clear Sans" w:cs="Clear Sans"/>
        </w:rPr>
        <w:t xml:space="preserve"> break</w:t>
      </w:r>
      <w:r w:rsidRPr="00270F1D">
        <w:rPr>
          <w:rFonts w:ascii="Clear Sans" w:hAnsi="Clear Sans" w:cs="Clear Sans"/>
        </w:rPr>
        <w:t xml:space="preserve">down </w:t>
      </w:r>
      <w:r w:rsidR="00F55529" w:rsidRPr="00270F1D">
        <w:rPr>
          <w:rFonts w:ascii="Clear Sans" w:hAnsi="Clear Sans" w:cs="Clear Sans"/>
        </w:rPr>
        <w:t xml:space="preserve">up </w:t>
      </w:r>
      <w:r w:rsidRPr="00270F1D">
        <w:rPr>
          <w:rFonts w:ascii="Clear Sans" w:hAnsi="Clear Sans" w:cs="Clear Sans"/>
        </w:rPr>
        <w:t xml:space="preserve">to the country level. </w:t>
      </w:r>
      <w:r w:rsidR="00BC6040" w:rsidRPr="00270F1D">
        <w:rPr>
          <w:rFonts w:ascii="Clear Sans" w:hAnsi="Clear Sans" w:cs="Clear Sans"/>
        </w:rPr>
        <w:t xml:space="preserve">An indication of which geographies are available for which sector can be found in </w:t>
      </w:r>
      <w:r w:rsidR="00BC6040" w:rsidRPr="00270F1D">
        <w:rPr>
          <w:rFonts w:ascii="Clear Sans" w:hAnsi="Clear Sans" w:cs="Clear Sans"/>
        </w:rPr>
        <w:fldChar w:fldCharType="begin"/>
      </w:r>
      <w:r w:rsidR="00BC6040" w:rsidRPr="00270F1D">
        <w:rPr>
          <w:rFonts w:ascii="Clear Sans" w:hAnsi="Clear Sans" w:cs="Clear Sans"/>
        </w:rPr>
        <w:instrText xml:space="preserve"> REF _Ref521336452 \h </w:instrText>
      </w:r>
      <w:r w:rsidR="00270F1D">
        <w:rPr>
          <w:rFonts w:ascii="Clear Sans" w:hAnsi="Clear Sans" w:cs="Clear Sans"/>
        </w:rPr>
        <w:instrText xml:space="preserve"> \* MERGEFORMAT </w:instrText>
      </w:r>
      <w:r w:rsidR="00BC6040" w:rsidRPr="00270F1D">
        <w:rPr>
          <w:rFonts w:ascii="Clear Sans" w:hAnsi="Clear Sans" w:cs="Clear Sans"/>
        </w:rPr>
      </w:r>
      <w:r w:rsidR="00BC6040" w:rsidRPr="00270F1D">
        <w:rPr>
          <w:rFonts w:ascii="Clear Sans" w:hAnsi="Clear Sans" w:cs="Clear Sans"/>
        </w:rPr>
        <w:fldChar w:fldCharType="separate"/>
      </w:r>
      <w:r w:rsidR="00140D03" w:rsidRPr="00270F1D">
        <w:rPr>
          <w:rFonts w:ascii="Clear Sans" w:hAnsi="Clear Sans" w:cs="Clear Sans"/>
        </w:rPr>
        <w:t xml:space="preserve">Table </w:t>
      </w:r>
      <w:r w:rsidR="00140D03">
        <w:rPr>
          <w:rFonts w:ascii="Clear Sans" w:hAnsi="Clear Sans" w:cs="Clear Sans"/>
          <w:noProof/>
        </w:rPr>
        <w:t>1</w:t>
      </w:r>
      <w:r w:rsidR="00140D03" w:rsidRPr="00140D03">
        <w:rPr>
          <w:rFonts w:ascii="Clear Sans" w:hAnsi="Clear Sans" w:cs="Clear Sans"/>
        </w:rPr>
        <w:t>: Scenario Overview</w:t>
      </w:r>
      <w:r w:rsidR="00BC6040" w:rsidRPr="00270F1D">
        <w:rPr>
          <w:rFonts w:ascii="Clear Sans" w:hAnsi="Clear Sans" w:cs="Clear Sans"/>
        </w:rPr>
        <w:fldChar w:fldCharType="end"/>
      </w:r>
      <w:r w:rsidR="00BC6040" w:rsidRPr="00270F1D">
        <w:rPr>
          <w:rFonts w:ascii="Clear Sans" w:hAnsi="Clear Sans" w:cs="Clear Sans"/>
        </w:rPr>
        <w:t>.</w:t>
      </w:r>
    </w:p>
    <w:p w14:paraId="505BAF98" w14:textId="41D65AA9" w:rsidR="004479A4" w:rsidRPr="00270F1D" w:rsidRDefault="00D02D46" w:rsidP="004479A4">
      <w:pPr>
        <w:pStyle w:val="Heading4"/>
        <w:rPr>
          <w:rFonts w:ascii="Clear Sans" w:hAnsi="Clear Sans" w:cs="Clear Sans"/>
        </w:rPr>
      </w:pPr>
      <w:r w:rsidRPr="00270F1D">
        <w:rPr>
          <w:rFonts w:ascii="Clear Sans" w:hAnsi="Clear Sans" w:cs="Clear Sans"/>
        </w:rPr>
        <w:t>Equity Market</w:t>
      </w:r>
    </w:p>
    <w:p w14:paraId="3B36ABD6" w14:textId="2432070E" w:rsidR="00D0617E" w:rsidRPr="00270F1D" w:rsidRDefault="00D0617E" w:rsidP="004479A4">
      <w:pPr>
        <w:rPr>
          <w:rFonts w:ascii="Clear Sans" w:hAnsi="Clear Sans" w:cs="Clear Sans"/>
        </w:rPr>
      </w:pPr>
      <w:r w:rsidRPr="00270F1D">
        <w:rPr>
          <w:rFonts w:ascii="Clear Sans" w:hAnsi="Clear Sans" w:cs="Clear Sans"/>
        </w:rPr>
        <w:t>The equity market selection determines the investible universe in terms of company domicile you are comparing yourself to. The selection options are</w:t>
      </w:r>
    </w:p>
    <w:p w14:paraId="1010542C" w14:textId="3C41105C" w:rsidR="00D0617E" w:rsidRPr="00B07D46" w:rsidRDefault="00D0617E" w:rsidP="00B07D46">
      <w:pPr>
        <w:pStyle w:val="ListParagraph"/>
        <w:numPr>
          <w:ilvl w:val="0"/>
          <w:numId w:val="33"/>
        </w:numPr>
      </w:pPr>
      <w:r w:rsidRPr="00B07D46">
        <w:rPr>
          <w:rStyle w:val="Strong"/>
        </w:rPr>
        <w:t>Global market.</w:t>
      </w:r>
      <w:r w:rsidRPr="00B07D46">
        <w:t xml:space="preserve"> </w:t>
      </w:r>
      <w:r w:rsidR="00BC6040" w:rsidRPr="00B07D46">
        <w:t>This selection represents the results of a</w:t>
      </w:r>
      <w:r w:rsidRPr="00B07D46">
        <w:t>ll companies</w:t>
      </w:r>
      <w:r w:rsidR="00BC6040" w:rsidRPr="00B07D46">
        <w:t xml:space="preserve"> within the global market</w:t>
      </w:r>
      <w:r w:rsidRPr="00B07D46">
        <w:t xml:space="preserve"> </w:t>
      </w:r>
      <w:r w:rsidR="00BC6040" w:rsidRPr="00B07D46">
        <w:t>in your portfolio, in other words your entire portfolio is assessed;</w:t>
      </w:r>
    </w:p>
    <w:p w14:paraId="0270AA1E" w14:textId="0D2D92D6" w:rsidR="00D0617E" w:rsidRPr="00B07D46" w:rsidRDefault="00D0617E" w:rsidP="00B07D46">
      <w:pPr>
        <w:pStyle w:val="ListParagraph"/>
        <w:numPr>
          <w:ilvl w:val="0"/>
          <w:numId w:val="33"/>
        </w:numPr>
      </w:pPr>
      <w:r w:rsidRPr="00B07D46">
        <w:rPr>
          <w:rStyle w:val="Strong"/>
        </w:rPr>
        <w:t>Developed market.</w:t>
      </w:r>
      <w:r w:rsidRPr="00B07D46">
        <w:t xml:space="preserve"> Only companies listed in the universe of countries of the MSCI World are assessed in this case. Th</w:t>
      </w:r>
      <w:r w:rsidR="00BC6040" w:rsidRPr="00B07D46">
        <w:t>e</w:t>
      </w:r>
      <w:r w:rsidRPr="00B07D46">
        <w:t xml:space="preserve"> filter is also applied to the market and peer results. </w:t>
      </w:r>
      <w:r w:rsidR="00F55529" w:rsidRPr="00B07D46">
        <w:t xml:space="preserve">More information about the countries included in the MSCI World can be found here: </w:t>
      </w:r>
      <w:hyperlink r:id="rId10" w:history="1">
        <w:r w:rsidR="00F55529" w:rsidRPr="00B07D46">
          <w:rPr>
            <w:rStyle w:val="Hyperlink"/>
          </w:rPr>
          <w:t>https://www.msci.com/world</w:t>
        </w:r>
      </w:hyperlink>
      <w:r w:rsidR="00BC6040" w:rsidRPr="00B07D46">
        <w:t>;</w:t>
      </w:r>
    </w:p>
    <w:p w14:paraId="230E2573" w14:textId="66AC8AD1" w:rsidR="00D02D46" w:rsidRPr="0043132B" w:rsidRDefault="00D0617E" w:rsidP="004479A4">
      <w:pPr>
        <w:pStyle w:val="ListParagraph"/>
        <w:numPr>
          <w:ilvl w:val="0"/>
          <w:numId w:val="33"/>
        </w:numPr>
      </w:pPr>
      <w:r w:rsidRPr="00B07D46">
        <w:rPr>
          <w:rStyle w:val="Strong"/>
        </w:rPr>
        <w:t>Emerging market.</w:t>
      </w:r>
      <w:r w:rsidRPr="00B07D46">
        <w:t xml:space="preserve"> Only companies listed in the universe of countries of the MSCI Emerging Markets are assessed in this case. This filter is also applied to the market and peer results. </w:t>
      </w:r>
      <w:r w:rsidR="00F55529" w:rsidRPr="00B07D46">
        <w:t xml:space="preserve">More information about the countries included in the MSCI Emerging Markets can be found here: </w:t>
      </w:r>
      <w:hyperlink r:id="rId11" w:history="1">
        <w:r w:rsidR="00F55529" w:rsidRPr="00B07D46">
          <w:rPr>
            <w:rStyle w:val="Hyperlink"/>
          </w:rPr>
          <w:t>https://www.msci.com/emerging-markets</w:t>
        </w:r>
      </w:hyperlink>
      <w:r w:rsidR="0043132B">
        <w:rPr>
          <w:rStyle w:val="Hyperlink"/>
        </w:rPr>
        <w:br/>
      </w:r>
      <w:r w:rsidR="003E3102" w:rsidRPr="0043132B">
        <w:rPr>
          <w:rFonts w:cs="Clear Sans"/>
        </w:rPr>
        <w:t>This selection is only available for equity portfolios (or the equity part of your portfolio</w:t>
      </w:r>
      <w:r w:rsidRPr="0043132B">
        <w:rPr>
          <w:rFonts w:cs="Clear Sans"/>
        </w:rPr>
        <w:t xml:space="preserve">). </w:t>
      </w:r>
    </w:p>
    <w:p w14:paraId="36AFA996" w14:textId="77777777" w:rsidR="00D02D46" w:rsidRPr="00270F1D" w:rsidRDefault="00D02D46" w:rsidP="00BB56DA">
      <w:pPr>
        <w:pStyle w:val="Heading4"/>
        <w:rPr>
          <w:rFonts w:ascii="Clear Sans" w:hAnsi="Clear Sans" w:cs="Clear Sans"/>
        </w:rPr>
      </w:pPr>
      <w:r w:rsidRPr="00270F1D">
        <w:rPr>
          <w:rFonts w:ascii="Clear Sans" w:hAnsi="Clear Sans" w:cs="Clear Sans"/>
        </w:rPr>
        <w:t>Benchmark Portfolio</w:t>
      </w:r>
    </w:p>
    <w:p w14:paraId="74783818" w14:textId="65E58318" w:rsidR="003E3102" w:rsidRPr="00270F1D" w:rsidRDefault="003E3102" w:rsidP="004479A4">
      <w:pPr>
        <w:rPr>
          <w:rFonts w:ascii="Clear Sans" w:hAnsi="Clear Sans" w:cs="Clear Sans"/>
        </w:rPr>
      </w:pPr>
      <w:r w:rsidRPr="00270F1D">
        <w:rPr>
          <w:rFonts w:ascii="Clear Sans" w:hAnsi="Clear Sans" w:cs="Clear Sans"/>
        </w:rPr>
        <w:t xml:space="preserve">The Benchmark portfolio parameter sets the starting point of the benchmark and thus sets the focus of the analysis. There are two options: </w:t>
      </w:r>
    </w:p>
    <w:p w14:paraId="30E32C8D" w14:textId="2BA4EF81" w:rsidR="003E3102" w:rsidRPr="00065D00" w:rsidRDefault="003E3102" w:rsidP="00065D00">
      <w:pPr>
        <w:pStyle w:val="ListParagraph"/>
        <w:numPr>
          <w:ilvl w:val="0"/>
          <w:numId w:val="9"/>
        </w:numPr>
      </w:pPr>
      <w:r w:rsidRPr="00065D00">
        <w:rPr>
          <w:rStyle w:val="Strong"/>
        </w:rPr>
        <w:t>Aligned Market.</w:t>
      </w:r>
      <w:r w:rsidRPr="00065D00">
        <w:t xml:space="preserve"> Uses the current financial market</w:t>
      </w:r>
      <w:r w:rsidR="00BC6040" w:rsidRPr="00065D00">
        <w:t xml:space="preserve"> (i.e. the listed developed market) </w:t>
      </w:r>
      <w:r w:rsidRPr="00065D00">
        <w:t>exposure to technologies scaled to the portfolio</w:t>
      </w:r>
      <w:r w:rsidR="00BC6040" w:rsidRPr="00065D00">
        <w:t xml:space="preserve"> size</w:t>
      </w:r>
      <w:r w:rsidRPr="00065D00">
        <w:t xml:space="preserve"> as the starting point and thus compares your portfolio against the market under a scenario compatible transition. It thus includes the current existing gap </w:t>
      </w:r>
      <w:r w:rsidR="00BC6040" w:rsidRPr="00065D00">
        <w:t xml:space="preserve">of your portfolios investments </w:t>
      </w:r>
      <w:r w:rsidRPr="00065D00">
        <w:t>compared to the market</w:t>
      </w:r>
      <w:r w:rsidR="00BC6040" w:rsidRPr="00065D00">
        <w:t>;</w:t>
      </w:r>
    </w:p>
    <w:p w14:paraId="31C303F3" w14:textId="07DADC33" w:rsidR="003E3102" w:rsidRPr="00065D00" w:rsidRDefault="003E3102" w:rsidP="00065D00">
      <w:pPr>
        <w:pStyle w:val="ListParagraph"/>
        <w:numPr>
          <w:ilvl w:val="0"/>
          <w:numId w:val="9"/>
        </w:numPr>
      </w:pPr>
      <w:r w:rsidRPr="00065D00">
        <w:rPr>
          <w:b/>
        </w:rPr>
        <w:t>Your Aligned Portfolio.</w:t>
      </w:r>
      <w:r w:rsidR="00BC6040" w:rsidRPr="00065D00">
        <w:t xml:space="preserve"> For this selection your current portfolio technology exposure is used as starting point of the analysis. </w:t>
      </w:r>
      <w:r w:rsidR="00F65B00" w:rsidRPr="00065D00">
        <w:t xml:space="preserve">i.e. this analysis only focusses on the forward-looking production plans of the </w:t>
      </w:r>
      <w:r w:rsidR="00F65B00" w:rsidRPr="00065D00">
        <w:lastRenderedPageBreak/>
        <w:t>portfolio and compares the aggregated capex plans of all portfolios positions with the scenario technology build-out rates.</w:t>
      </w:r>
    </w:p>
    <w:p w14:paraId="7AD93864" w14:textId="5D61B5DE" w:rsidR="00D02D46" w:rsidRPr="00065D00" w:rsidRDefault="00F65B00" w:rsidP="00065D00">
      <w:pPr>
        <w:pStyle w:val="ListParagraph"/>
      </w:pPr>
      <w:r w:rsidRPr="00065D00">
        <w:t>I</w:t>
      </w:r>
      <w:r w:rsidR="003E3102" w:rsidRPr="00065D00">
        <w:t xml:space="preserve">n both cases the </w:t>
      </w:r>
      <w:r w:rsidRPr="00065D00">
        <w:t xml:space="preserve">forward-looking </w:t>
      </w:r>
      <w:r w:rsidR="003E3102" w:rsidRPr="00065D00">
        <w:t>scenario build-out rate</w:t>
      </w:r>
      <w:r w:rsidRPr="00065D00">
        <w:t>s</w:t>
      </w:r>
      <w:r w:rsidR="003E3102" w:rsidRPr="00065D00">
        <w:t xml:space="preserve"> </w:t>
      </w:r>
      <w:r w:rsidRPr="00065D00">
        <w:t>are</w:t>
      </w:r>
      <w:r w:rsidR="003E3102" w:rsidRPr="00065D00">
        <w:t xml:space="preserve"> applied to th</w:t>
      </w:r>
      <w:r w:rsidRPr="00065D00">
        <w:t>e technology exposure</w:t>
      </w:r>
      <w:r w:rsidR="003E3102" w:rsidRPr="00065D00">
        <w:t xml:space="preserve"> starting point</w:t>
      </w:r>
      <w:r w:rsidRPr="00065D00">
        <w:t xml:space="preserve"> to calculate the forward-looking alignment.</w:t>
      </w:r>
    </w:p>
    <w:p w14:paraId="3DDBE92B" w14:textId="34DF1785" w:rsidR="00413771" w:rsidRPr="00270F1D" w:rsidRDefault="00D02D46" w:rsidP="00BB56DA">
      <w:pPr>
        <w:pStyle w:val="Heading4"/>
        <w:rPr>
          <w:rFonts w:ascii="Clear Sans" w:hAnsi="Clear Sans" w:cs="Clear Sans"/>
        </w:rPr>
      </w:pPr>
      <w:r w:rsidRPr="00270F1D">
        <w:rPr>
          <w:rFonts w:ascii="Clear Sans" w:hAnsi="Clear Sans" w:cs="Clear Sans"/>
        </w:rPr>
        <w:t>Peer Group</w:t>
      </w:r>
    </w:p>
    <w:p w14:paraId="391379A5" w14:textId="561D3CEF" w:rsidR="00B22022" w:rsidRPr="00270F1D" w:rsidRDefault="003E3102" w:rsidP="004479A4">
      <w:pPr>
        <w:rPr>
          <w:rFonts w:ascii="Clear Sans" w:hAnsi="Clear Sans" w:cs="Clear Sans"/>
        </w:rPr>
      </w:pPr>
      <w:r w:rsidRPr="00270F1D">
        <w:rPr>
          <w:rFonts w:ascii="Clear Sans" w:hAnsi="Clear Sans" w:cs="Clear Sans"/>
        </w:rPr>
        <w:t>Peer groups</w:t>
      </w:r>
      <w:r w:rsidR="00B22022" w:rsidRPr="00270F1D">
        <w:rPr>
          <w:rFonts w:ascii="Clear Sans" w:hAnsi="Clear Sans" w:cs="Clear Sans"/>
        </w:rPr>
        <w:t xml:space="preserve"> are used to compare your portfolio to </w:t>
      </w:r>
      <w:r w:rsidR="00F65B00" w:rsidRPr="00270F1D">
        <w:rPr>
          <w:rFonts w:ascii="Clear Sans" w:hAnsi="Clear Sans" w:cs="Clear Sans"/>
        </w:rPr>
        <w:t xml:space="preserve">a group of </w:t>
      </w:r>
      <w:r w:rsidR="00B22022" w:rsidRPr="00270F1D">
        <w:rPr>
          <w:rFonts w:ascii="Clear Sans" w:hAnsi="Clear Sans" w:cs="Clear Sans"/>
        </w:rPr>
        <w:t>other existing portfolio</w:t>
      </w:r>
      <w:r w:rsidR="00FA682B" w:rsidRPr="00270F1D">
        <w:rPr>
          <w:rFonts w:ascii="Clear Sans" w:hAnsi="Clear Sans" w:cs="Clear Sans"/>
        </w:rPr>
        <w:t>s</w:t>
      </w:r>
      <w:r w:rsidR="00B22022" w:rsidRPr="00270F1D">
        <w:rPr>
          <w:rFonts w:ascii="Clear Sans" w:hAnsi="Clear Sans" w:cs="Clear Sans"/>
        </w:rPr>
        <w:t xml:space="preserve">. </w:t>
      </w:r>
      <w:r w:rsidR="00FA682B" w:rsidRPr="00270F1D">
        <w:rPr>
          <w:rFonts w:ascii="Clear Sans" w:hAnsi="Clear Sans" w:cs="Clear Sans"/>
        </w:rPr>
        <w:t>Currently</w:t>
      </w:r>
      <w:r w:rsidR="00B22022" w:rsidRPr="00270F1D">
        <w:rPr>
          <w:rFonts w:ascii="Clear Sans" w:hAnsi="Clear Sans" w:cs="Clear Sans"/>
        </w:rPr>
        <w:t xml:space="preserve"> the </w:t>
      </w:r>
      <w:r w:rsidRPr="00270F1D">
        <w:rPr>
          <w:rFonts w:ascii="Clear Sans" w:hAnsi="Clear Sans" w:cs="Clear Sans"/>
        </w:rPr>
        <w:t xml:space="preserve">top 100 funds in </w:t>
      </w:r>
      <w:r w:rsidR="00B22022" w:rsidRPr="00270F1D">
        <w:rPr>
          <w:rFonts w:ascii="Clear Sans" w:hAnsi="Clear Sans" w:cs="Clear Sans"/>
        </w:rPr>
        <w:t xml:space="preserve">monetary </w:t>
      </w:r>
      <w:r w:rsidRPr="00270F1D">
        <w:rPr>
          <w:rFonts w:ascii="Clear Sans" w:hAnsi="Clear Sans" w:cs="Clear Sans"/>
        </w:rPr>
        <w:t xml:space="preserve">terms </w:t>
      </w:r>
      <w:r w:rsidR="00B22022" w:rsidRPr="00270F1D">
        <w:rPr>
          <w:rFonts w:ascii="Clear Sans" w:hAnsi="Clear Sans" w:cs="Clear Sans"/>
        </w:rPr>
        <w:t>(</w:t>
      </w:r>
      <w:r w:rsidRPr="00270F1D">
        <w:rPr>
          <w:rFonts w:ascii="Clear Sans" w:hAnsi="Clear Sans" w:cs="Clear Sans"/>
        </w:rPr>
        <w:t>AUM</w:t>
      </w:r>
      <w:r w:rsidR="00B22022" w:rsidRPr="00270F1D">
        <w:rPr>
          <w:rFonts w:ascii="Clear Sans" w:hAnsi="Clear Sans" w:cs="Clear Sans"/>
        </w:rPr>
        <w:t xml:space="preserve">) from the </w:t>
      </w:r>
      <w:proofErr w:type="spellStart"/>
      <w:r w:rsidR="00B22022" w:rsidRPr="00270F1D">
        <w:rPr>
          <w:rFonts w:ascii="Clear Sans" w:hAnsi="Clear Sans" w:cs="Clear Sans"/>
        </w:rPr>
        <w:t>MorningStar</w:t>
      </w:r>
      <w:proofErr w:type="spellEnd"/>
      <w:r w:rsidR="00B22022" w:rsidRPr="00270F1D">
        <w:rPr>
          <w:rFonts w:ascii="Clear Sans" w:hAnsi="Clear Sans" w:cs="Clear Sans"/>
        </w:rPr>
        <w:t xml:space="preserve"> fund database are used as comparison for the following three regions: Global, Europe and United States. </w:t>
      </w:r>
    </w:p>
    <w:p w14:paraId="509D0F06" w14:textId="2D115CDF" w:rsidR="003E3102" w:rsidRDefault="00B22022" w:rsidP="00B22022">
      <w:pPr>
        <w:rPr>
          <w:rFonts w:ascii="Clear Sans" w:hAnsi="Clear Sans" w:cs="Clear Sans"/>
        </w:rPr>
      </w:pPr>
      <w:r w:rsidRPr="00270F1D">
        <w:rPr>
          <w:rFonts w:ascii="Clear Sans" w:hAnsi="Clear Sans" w:cs="Clear Sans"/>
        </w:rPr>
        <w:t>In addition to these peer groups benchmarks</w:t>
      </w:r>
      <w:bookmarkStart w:id="1" w:name="_Hlk520893835"/>
      <w:r w:rsidRPr="00270F1D">
        <w:rPr>
          <w:rFonts w:ascii="Clear Sans" w:hAnsi="Clear Sans" w:cs="Clear Sans"/>
        </w:rPr>
        <w:t xml:space="preserve">, a PRI peer group analysis is offered, which will enable interested PRI signatories to anonymously compare their PACTA results against other PRI members. PRI signatories can join the voluntary PRI peer group by ticking the respective box “I want to join the PRI peer group” at tool.transitionmonitor.com/participate. 2°ii will reach out to the interested signatories early 2019 with further information about this peer analysis. </w:t>
      </w:r>
    </w:p>
    <w:p w14:paraId="5EC92C79" w14:textId="77777777" w:rsidR="00317C31" w:rsidRPr="00270F1D" w:rsidRDefault="00317C31" w:rsidP="00B22022">
      <w:pPr>
        <w:rPr>
          <w:rFonts w:ascii="Clear Sans" w:hAnsi="Clear Sans" w:cs="Clear Sans"/>
        </w:rPr>
      </w:pPr>
    </w:p>
    <w:bookmarkEnd w:id="1"/>
    <w:p w14:paraId="69495FFD" w14:textId="5CF44A44" w:rsidR="003E3102" w:rsidRPr="00270F1D" w:rsidRDefault="003E3102" w:rsidP="00BB56DA">
      <w:pPr>
        <w:pStyle w:val="Heading4"/>
        <w:rPr>
          <w:rFonts w:ascii="Clear Sans" w:hAnsi="Clear Sans" w:cs="Clear Sans"/>
        </w:rPr>
      </w:pPr>
      <w:r w:rsidRPr="00270F1D">
        <w:rPr>
          <w:rFonts w:ascii="Clear Sans" w:hAnsi="Clear Sans" w:cs="Clear Sans"/>
        </w:rPr>
        <w:t>Standard Parameters used in the report</w:t>
      </w:r>
      <w:r w:rsidR="00BF4104" w:rsidRPr="00270F1D">
        <w:rPr>
          <w:rFonts w:ascii="Clear Sans" w:hAnsi="Clear Sans" w:cs="Clear Sans"/>
        </w:rPr>
        <w:t xml:space="preserve"> &amp; </w:t>
      </w:r>
      <w:r w:rsidR="00B22022" w:rsidRPr="00270F1D">
        <w:rPr>
          <w:rFonts w:ascii="Clear Sans" w:hAnsi="Clear Sans" w:cs="Clear Sans"/>
        </w:rPr>
        <w:t>executive summary</w:t>
      </w:r>
    </w:p>
    <w:p w14:paraId="3E029E2C" w14:textId="1DFE6E23" w:rsidR="002B205C" w:rsidRPr="00270F1D" w:rsidRDefault="00F65B00" w:rsidP="004479A4">
      <w:pPr>
        <w:rPr>
          <w:rFonts w:ascii="Clear Sans" w:hAnsi="Clear Sans" w:cs="Clear Sans"/>
        </w:rPr>
      </w:pPr>
      <w:r w:rsidRPr="00270F1D">
        <w:rPr>
          <w:rFonts w:ascii="Clear Sans" w:hAnsi="Clear Sans" w:cs="Clear Sans"/>
        </w:rPr>
        <w:t xml:space="preserve">The following settings for the global parameters are used in </w:t>
      </w:r>
      <w:r w:rsidR="00413771" w:rsidRPr="00270F1D">
        <w:rPr>
          <w:rFonts w:ascii="Clear Sans" w:hAnsi="Clear Sans" w:cs="Clear Sans"/>
        </w:rPr>
        <w:t>the reports</w:t>
      </w:r>
      <w:r w:rsidRPr="00270F1D">
        <w:rPr>
          <w:rFonts w:ascii="Clear Sans" w:hAnsi="Clear Sans" w:cs="Clear Sans"/>
        </w:rPr>
        <w:t xml:space="preserve"> that you can download</w:t>
      </w:r>
      <w:r w:rsidR="00413771" w:rsidRPr="00270F1D">
        <w:rPr>
          <w:rFonts w:ascii="Clear Sans" w:hAnsi="Clear Sans" w:cs="Clear Sans"/>
        </w:rPr>
        <w:t>:</w:t>
      </w:r>
    </w:p>
    <w:p w14:paraId="44D3F47B" w14:textId="31BF8DEB" w:rsidR="00E70B13" w:rsidRPr="00270F1D" w:rsidRDefault="00E70B13" w:rsidP="00E70B13">
      <w:pPr>
        <w:pStyle w:val="Caption"/>
        <w:rPr>
          <w:rFonts w:ascii="Clear Sans" w:hAnsi="Clear Sans" w:cs="Clear Sans"/>
        </w:rPr>
      </w:pPr>
      <w:r w:rsidRPr="00270F1D">
        <w:rPr>
          <w:rFonts w:ascii="Clear Sans" w:hAnsi="Clear Sans" w:cs="Clear Sans"/>
        </w:rPr>
        <w:t xml:space="preserve">Table </w:t>
      </w:r>
      <w:r w:rsidR="008E7EAD" w:rsidRPr="00270F1D">
        <w:rPr>
          <w:rFonts w:ascii="Clear Sans" w:hAnsi="Clear Sans" w:cs="Clear Sans"/>
          <w:noProof/>
        </w:rPr>
        <w:fldChar w:fldCharType="begin"/>
      </w:r>
      <w:r w:rsidR="008E7EAD" w:rsidRPr="00270F1D">
        <w:rPr>
          <w:rFonts w:ascii="Clear Sans" w:hAnsi="Clear Sans" w:cs="Clear Sans"/>
          <w:noProof/>
        </w:rPr>
        <w:instrText xml:space="preserve"> SEQ Table \* ARABIC </w:instrText>
      </w:r>
      <w:r w:rsidR="008E7EAD" w:rsidRPr="00270F1D">
        <w:rPr>
          <w:rFonts w:ascii="Clear Sans" w:hAnsi="Clear Sans" w:cs="Clear Sans"/>
          <w:noProof/>
        </w:rPr>
        <w:fldChar w:fldCharType="separate"/>
      </w:r>
      <w:r w:rsidR="00140D03">
        <w:rPr>
          <w:rFonts w:ascii="Clear Sans" w:hAnsi="Clear Sans" w:cs="Clear Sans"/>
          <w:noProof/>
        </w:rPr>
        <w:t>2</w:t>
      </w:r>
      <w:r w:rsidR="008E7EAD" w:rsidRPr="00270F1D">
        <w:rPr>
          <w:rFonts w:ascii="Clear Sans" w:hAnsi="Clear Sans" w:cs="Clear Sans"/>
          <w:noProof/>
        </w:rPr>
        <w:fldChar w:fldCharType="end"/>
      </w:r>
      <w:r w:rsidRPr="00270F1D">
        <w:rPr>
          <w:rFonts w:ascii="Clear Sans" w:hAnsi="Clear Sans" w:cs="Clear Sans"/>
        </w:rPr>
        <w:t>. Standard global parameter settings in the reports</w:t>
      </w:r>
    </w:p>
    <w:tbl>
      <w:tblPr>
        <w:tblStyle w:val="PlainTable2"/>
        <w:tblW w:w="5000" w:type="pct"/>
        <w:tblLayout w:type="fixed"/>
        <w:tblLook w:val="04A0" w:firstRow="1" w:lastRow="0" w:firstColumn="1" w:lastColumn="0" w:noHBand="0" w:noVBand="1"/>
      </w:tblPr>
      <w:tblGrid>
        <w:gridCol w:w="1383"/>
        <w:gridCol w:w="2188"/>
        <w:gridCol w:w="1879"/>
        <w:gridCol w:w="1158"/>
        <w:gridCol w:w="1744"/>
        <w:gridCol w:w="1286"/>
      </w:tblGrid>
      <w:tr w:rsidR="00FA682B" w:rsidRPr="00270F1D" w14:paraId="705F3CA0" w14:textId="77777777" w:rsidTr="0075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shd w:val="clear" w:color="auto" w:fill="2E2F31"/>
            <w:vAlign w:val="center"/>
          </w:tcPr>
          <w:p w14:paraId="4FBAFCDD" w14:textId="4A9A0BF5" w:rsidR="00413771" w:rsidRPr="0053583A" w:rsidRDefault="00413771" w:rsidP="0053583A">
            <w:pPr>
              <w:pStyle w:val="BodyText"/>
              <w:rPr>
                <w:color w:val="FFFFFF" w:themeColor="background1"/>
              </w:rPr>
            </w:pPr>
            <w:r w:rsidRPr="0053583A">
              <w:rPr>
                <w:color w:val="FFFFFF" w:themeColor="background1"/>
              </w:rPr>
              <w:t>Scenario</w:t>
            </w:r>
          </w:p>
        </w:tc>
        <w:tc>
          <w:tcPr>
            <w:tcW w:w="1135" w:type="pct"/>
            <w:shd w:val="clear" w:color="auto" w:fill="2E2F31"/>
            <w:vAlign w:val="center"/>
          </w:tcPr>
          <w:p w14:paraId="53837D14" w14:textId="7BFC1CFA" w:rsidR="00413771" w:rsidRPr="0053583A" w:rsidRDefault="00413771" w:rsidP="0053583A">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Accounting Principle</w:t>
            </w:r>
          </w:p>
        </w:tc>
        <w:tc>
          <w:tcPr>
            <w:tcW w:w="975" w:type="pct"/>
            <w:shd w:val="clear" w:color="auto" w:fill="2E2F31"/>
            <w:vAlign w:val="center"/>
          </w:tcPr>
          <w:p w14:paraId="76625D73" w14:textId="2BB62607" w:rsidR="00413771" w:rsidRPr="0053583A" w:rsidRDefault="00413771"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Scenario Geography</w:t>
            </w:r>
          </w:p>
        </w:tc>
        <w:tc>
          <w:tcPr>
            <w:tcW w:w="601" w:type="pct"/>
            <w:shd w:val="clear" w:color="auto" w:fill="2E2F31"/>
            <w:vAlign w:val="center"/>
          </w:tcPr>
          <w:p w14:paraId="36A80847" w14:textId="62C94E9C" w:rsidR="00413771" w:rsidRPr="0053583A" w:rsidRDefault="00413771"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Equity Market</w:t>
            </w:r>
          </w:p>
        </w:tc>
        <w:tc>
          <w:tcPr>
            <w:tcW w:w="905" w:type="pct"/>
            <w:shd w:val="clear" w:color="auto" w:fill="2E2F31"/>
            <w:vAlign w:val="center"/>
          </w:tcPr>
          <w:p w14:paraId="67525D3D" w14:textId="2ADD3235" w:rsidR="00413771" w:rsidRPr="0053583A" w:rsidRDefault="00413771"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Benchmark Portfolio</w:t>
            </w:r>
          </w:p>
        </w:tc>
        <w:tc>
          <w:tcPr>
            <w:tcW w:w="667" w:type="pct"/>
            <w:shd w:val="clear" w:color="auto" w:fill="2E2F31"/>
            <w:vAlign w:val="center"/>
          </w:tcPr>
          <w:p w14:paraId="5DCFD802" w14:textId="1600A84C" w:rsidR="00413771" w:rsidRPr="0053583A" w:rsidRDefault="00413771"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Peer Group</w:t>
            </w:r>
          </w:p>
        </w:tc>
      </w:tr>
      <w:tr w:rsidR="00FA682B" w:rsidRPr="00270F1D" w14:paraId="7CDC83D3" w14:textId="77777777" w:rsidTr="0075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vAlign w:val="center"/>
          </w:tcPr>
          <w:p w14:paraId="10A5BE77" w14:textId="7A37C6CA" w:rsidR="00413771" w:rsidRPr="0053583A" w:rsidRDefault="00D02D46" w:rsidP="0053583A">
            <w:pPr>
              <w:pStyle w:val="BodyText"/>
              <w:jc w:val="center"/>
              <w:rPr>
                <w:b w:val="0"/>
                <w:color w:val="000000" w:themeColor="text1"/>
              </w:rPr>
            </w:pPr>
            <w:r w:rsidRPr="0053583A">
              <w:rPr>
                <w:b w:val="0"/>
                <w:color w:val="000000" w:themeColor="text1"/>
              </w:rPr>
              <w:t>IEA - SDS (2°C)</w:t>
            </w:r>
          </w:p>
        </w:tc>
        <w:tc>
          <w:tcPr>
            <w:tcW w:w="1135" w:type="pct"/>
            <w:vAlign w:val="center"/>
          </w:tcPr>
          <w:p w14:paraId="418883EB" w14:textId="2628DAE9" w:rsidR="00413771"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PortfolioWeight</w:t>
            </w:r>
          </w:p>
        </w:tc>
        <w:tc>
          <w:tcPr>
            <w:tcW w:w="975" w:type="pct"/>
            <w:vAlign w:val="center"/>
          </w:tcPr>
          <w:p w14:paraId="45C3EF53" w14:textId="77777777" w:rsidR="00413771"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Global*</w:t>
            </w:r>
          </w:p>
          <w:p w14:paraId="2D399A0D" w14:textId="4B1DE847" w:rsidR="00D02D46"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*aggregated regional exposure</w:t>
            </w:r>
          </w:p>
        </w:tc>
        <w:tc>
          <w:tcPr>
            <w:tcW w:w="601" w:type="pct"/>
            <w:vAlign w:val="center"/>
          </w:tcPr>
          <w:p w14:paraId="15D7A9BC" w14:textId="48D23083" w:rsidR="00413771"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Global</w:t>
            </w:r>
          </w:p>
        </w:tc>
        <w:tc>
          <w:tcPr>
            <w:tcW w:w="905" w:type="pct"/>
            <w:vAlign w:val="center"/>
          </w:tcPr>
          <w:p w14:paraId="0D974FF1" w14:textId="63543078" w:rsidR="00413771"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 xml:space="preserve">Your </w:t>
            </w:r>
            <w:r w:rsidR="009C6F9D">
              <w:rPr>
                <w:color w:val="000000" w:themeColor="text1"/>
              </w:rPr>
              <w:t>Aligned</w:t>
            </w:r>
            <w:r w:rsidRPr="00270F1D">
              <w:rPr>
                <w:color w:val="000000" w:themeColor="text1"/>
              </w:rPr>
              <w:t xml:space="preserve"> </w:t>
            </w:r>
            <w:r w:rsidR="009C6F9D">
              <w:rPr>
                <w:color w:val="000000" w:themeColor="text1"/>
              </w:rPr>
              <w:t>Portfolio</w:t>
            </w:r>
          </w:p>
        </w:tc>
        <w:tc>
          <w:tcPr>
            <w:tcW w:w="667" w:type="pct"/>
            <w:vAlign w:val="center"/>
          </w:tcPr>
          <w:p w14:paraId="00E27E56" w14:textId="60F718F2" w:rsidR="00413771" w:rsidRPr="00270F1D" w:rsidRDefault="00D02D46" w:rsidP="0053583A">
            <w:pPr>
              <w:pStyle w:val="BodyText"/>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70F1D">
              <w:rPr>
                <w:color w:val="000000" w:themeColor="text1"/>
              </w:rPr>
              <w:t>Global Peers</w:t>
            </w:r>
          </w:p>
        </w:tc>
      </w:tr>
    </w:tbl>
    <w:p w14:paraId="797F0132" w14:textId="77777777" w:rsidR="00F65B00" w:rsidRPr="00270F1D" w:rsidRDefault="00F65B00" w:rsidP="00F65B00">
      <w:pPr>
        <w:rPr>
          <w:rFonts w:ascii="Clear Sans" w:hAnsi="Clear Sans" w:cs="Clear Sans"/>
        </w:rPr>
      </w:pPr>
    </w:p>
    <w:p w14:paraId="468987F4" w14:textId="218153F7" w:rsidR="00CA79BA" w:rsidRPr="00270F1D" w:rsidRDefault="00CA79BA" w:rsidP="00CA79BA">
      <w:pPr>
        <w:pStyle w:val="Heading3"/>
        <w:rPr>
          <w:rFonts w:cs="Clear Sans"/>
        </w:rPr>
      </w:pPr>
      <w:r w:rsidRPr="00270F1D">
        <w:rPr>
          <w:rFonts w:cs="Clear Sans"/>
        </w:rPr>
        <w:t>Data Sources</w:t>
      </w:r>
    </w:p>
    <w:p w14:paraId="25316572" w14:textId="453233DE" w:rsidR="00CA79BA" w:rsidRPr="00270F1D" w:rsidRDefault="00CA79BA" w:rsidP="004479A4">
      <w:pPr>
        <w:rPr>
          <w:rFonts w:ascii="Clear Sans" w:hAnsi="Clear Sans" w:cs="Clear Sans"/>
        </w:rPr>
      </w:pPr>
      <w:r w:rsidRPr="00270F1D">
        <w:rPr>
          <w:rFonts w:ascii="Clear Sans" w:hAnsi="Clear Sans" w:cs="Clear Sans"/>
        </w:rPr>
        <w:t xml:space="preserve">The model sources, where possible, forward-looking asset - level data for key technologies (e.g. future production plans) </w:t>
      </w:r>
      <w:proofErr w:type="gramStart"/>
      <w:r w:rsidRPr="00270F1D">
        <w:rPr>
          <w:rFonts w:ascii="Clear Sans" w:hAnsi="Clear Sans" w:cs="Clear Sans"/>
        </w:rPr>
        <w:t>in order to</w:t>
      </w:r>
      <w:proofErr w:type="gramEnd"/>
      <w:r w:rsidRPr="00270F1D">
        <w:rPr>
          <w:rFonts w:ascii="Clear Sans" w:hAnsi="Clear Sans" w:cs="Clear Sans"/>
        </w:rPr>
        <w:t xml:space="preserve"> provide geography-specific assessments for </w:t>
      </w:r>
      <w:r w:rsidR="00F65B00" w:rsidRPr="00270F1D">
        <w:rPr>
          <w:rFonts w:ascii="Clear Sans" w:hAnsi="Clear Sans" w:cs="Clear Sans"/>
        </w:rPr>
        <w:t>climate relevant sectors</w:t>
      </w:r>
      <w:r w:rsidRPr="00270F1D">
        <w:rPr>
          <w:rFonts w:ascii="Clear Sans" w:hAnsi="Clear Sans" w:cs="Clear Sans"/>
        </w:rPr>
        <w:t xml:space="preserve"> mapped to the company level. It thus bypasses wherever possible backward-looking, corporate level reporting, although such reporting can be used for validating forward - looking parameters (e.g. GHG emissions). The analysis relies on the following data sources:</w:t>
      </w:r>
    </w:p>
    <w:p w14:paraId="730D9D07" w14:textId="09FDC4C8" w:rsidR="00CA79BA" w:rsidRPr="00270F1D" w:rsidRDefault="00CA79BA" w:rsidP="00F65B00">
      <w:pPr>
        <w:pStyle w:val="ListParagraph"/>
        <w:numPr>
          <w:ilvl w:val="0"/>
          <w:numId w:val="18"/>
        </w:numPr>
        <w:rPr>
          <w:rFonts w:cs="Clear Sans"/>
        </w:rPr>
      </w:pPr>
      <w:r w:rsidRPr="00270F1D">
        <w:rPr>
          <w:rFonts w:cs="Clear Sans"/>
          <w:b/>
        </w:rPr>
        <w:t>GlobalData</w:t>
      </w:r>
      <w:r w:rsidR="00F65B00" w:rsidRPr="00270F1D">
        <w:rPr>
          <w:rFonts w:cs="Clear Sans"/>
        </w:rPr>
        <w:t xml:space="preserve">. </w:t>
      </w:r>
      <w:r w:rsidR="00FA682B" w:rsidRPr="00270F1D">
        <w:rPr>
          <w:rFonts w:cs="Clear Sans"/>
          <w:lang w:val="en-AU"/>
        </w:rPr>
        <w:t>P</w:t>
      </w:r>
      <w:r w:rsidRPr="00270F1D">
        <w:rPr>
          <w:rFonts w:cs="Clear Sans"/>
        </w:rPr>
        <w:t>ower plant data, including plants classified as active, announced, financed, partially active, permitting, temporarily shut down, under construction, under rehabilitation &amp; modernization, and Oil and Gas production data and forecast until 2018 - 2023, as well as coal mining data;</w:t>
      </w:r>
    </w:p>
    <w:p w14:paraId="6C4E14D8" w14:textId="14DF7EE2" w:rsidR="00CA79BA" w:rsidRPr="00270F1D" w:rsidRDefault="00CA79BA" w:rsidP="00F65B00">
      <w:pPr>
        <w:pStyle w:val="ListParagraph"/>
        <w:numPr>
          <w:ilvl w:val="0"/>
          <w:numId w:val="18"/>
        </w:numPr>
        <w:rPr>
          <w:rFonts w:cs="Clear Sans"/>
        </w:rPr>
      </w:pPr>
      <w:proofErr w:type="spellStart"/>
      <w:r w:rsidRPr="00270F1D">
        <w:rPr>
          <w:rFonts w:cs="Clear Sans"/>
          <w:b/>
        </w:rPr>
        <w:t>WardsAuto</w:t>
      </w:r>
      <w:proofErr w:type="spellEnd"/>
      <w:r w:rsidR="00F65B00" w:rsidRPr="00270F1D">
        <w:rPr>
          <w:rFonts w:cs="Clear Sans"/>
          <w:b/>
        </w:rPr>
        <w:t>/</w:t>
      </w:r>
      <w:proofErr w:type="spellStart"/>
      <w:r w:rsidR="00F65B00" w:rsidRPr="00270F1D">
        <w:rPr>
          <w:rFonts w:cs="Clear Sans"/>
          <w:b/>
        </w:rPr>
        <w:t>AutoForecastSolutions</w:t>
      </w:r>
      <w:proofErr w:type="spellEnd"/>
      <w:r w:rsidR="00F65B00" w:rsidRPr="00270F1D">
        <w:rPr>
          <w:rFonts w:cs="Clear Sans"/>
        </w:rPr>
        <w:t xml:space="preserve">. </w:t>
      </w:r>
      <w:r w:rsidR="00FA682B" w:rsidRPr="00270F1D">
        <w:rPr>
          <w:rFonts w:cs="Clear Sans"/>
        </w:rPr>
        <w:t>L</w:t>
      </w:r>
      <w:r w:rsidRPr="00270F1D">
        <w:rPr>
          <w:rFonts w:cs="Clear Sans"/>
        </w:rPr>
        <w:t>ight passenger duty vehicle including light trucks and BAU production forecasts 2018 - 2023;</w:t>
      </w:r>
    </w:p>
    <w:p w14:paraId="0A8293B0" w14:textId="596D00D8" w:rsidR="00CA79BA" w:rsidRPr="00270F1D" w:rsidRDefault="00CA79BA" w:rsidP="00F65B00">
      <w:pPr>
        <w:pStyle w:val="ListParagraph"/>
        <w:numPr>
          <w:ilvl w:val="0"/>
          <w:numId w:val="18"/>
        </w:numPr>
        <w:rPr>
          <w:rFonts w:cs="Clear Sans"/>
        </w:rPr>
      </w:pPr>
      <w:r w:rsidRPr="00270F1D">
        <w:rPr>
          <w:rFonts w:cs="Clear Sans"/>
          <w:b/>
        </w:rPr>
        <w:t>RightShip</w:t>
      </w:r>
      <w:r w:rsidR="00F65B00" w:rsidRPr="00270F1D">
        <w:rPr>
          <w:rFonts w:cs="Clear Sans"/>
        </w:rPr>
        <w:t>. S</w:t>
      </w:r>
      <w:r w:rsidRPr="00270F1D">
        <w:rPr>
          <w:rFonts w:cs="Clear Sans"/>
        </w:rPr>
        <w:t>hip</w:t>
      </w:r>
      <w:r w:rsidR="00F65B00" w:rsidRPr="00270F1D">
        <w:rPr>
          <w:rFonts w:cs="Clear Sans"/>
        </w:rPr>
        <w:t xml:space="preserve"> </w:t>
      </w:r>
      <w:r w:rsidRPr="00270F1D">
        <w:rPr>
          <w:rFonts w:cs="Clear Sans"/>
        </w:rPr>
        <w:t>data, including ship type and carbon efficiency developed by Carbon War Room</w:t>
      </w:r>
      <w:r w:rsidR="00F65B00" w:rsidRPr="00270F1D">
        <w:rPr>
          <w:rFonts w:cs="Clear Sans"/>
        </w:rPr>
        <w:t>;</w:t>
      </w:r>
    </w:p>
    <w:p w14:paraId="4E688C19" w14:textId="4E0D2CA8" w:rsidR="00CA79BA" w:rsidRPr="00270F1D" w:rsidRDefault="00CA79BA" w:rsidP="00F65B00">
      <w:pPr>
        <w:pStyle w:val="ListParagraph"/>
        <w:numPr>
          <w:ilvl w:val="0"/>
          <w:numId w:val="18"/>
        </w:numPr>
        <w:rPr>
          <w:rFonts w:cs="Clear Sans"/>
        </w:rPr>
      </w:pPr>
      <w:r w:rsidRPr="00270F1D">
        <w:rPr>
          <w:rFonts w:cs="Clear Sans"/>
          <w:b/>
        </w:rPr>
        <w:t>FlightGlobal</w:t>
      </w:r>
      <w:r w:rsidR="00F65B00" w:rsidRPr="00270F1D">
        <w:rPr>
          <w:rFonts w:cs="Clear Sans"/>
          <w:b/>
        </w:rPr>
        <w:t xml:space="preserve">. </w:t>
      </w:r>
      <w:r w:rsidR="00FA682B" w:rsidRPr="00270F1D">
        <w:rPr>
          <w:rFonts w:cs="Clear Sans"/>
          <w:lang w:val="en-AU"/>
        </w:rPr>
        <w:t>A</w:t>
      </w:r>
      <w:r w:rsidRPr="00270F1D">
        <w:rPr>
          <w:rFonts w:cs="Clear Sans"/>
        </w:rPr>
        <w:t>irplane data for passenger flights</w:t>
      </w:r>
      <w:r w:rsidR="00F65B00" w:rsidRPr="00270F1D">
        <w:rPr>
          <w:rFonts w:cs="Clear Sans"/>
        </w:rPr>
        <w:t xml:space="preserve">, cargo and combined aircrafts, including number of seats or tons transported, plane model, </w:t>
      </w:r>
      <w:proofErr w:type="spellStart"/>
      <w:r w:rsidR="00F65B00" w:rsidRPr="00270F1D">
        <w:rPr>
          <w:rFonts w:cs="Clear Sans"/>
        </w:rPr>
        <w:t>etc</w:t>
      </w:r>
      <w:proofErr w:type="spellEnd"/>
      <w:r w:rsidR="00F65B00" w:rsidRPr="00270F1D">
        <w:rPr>
          <w:rFonts w:cs="Clear Sans"/>
        </w:rPr>
        <w:t>;</w:t>
      </w:r>
    </w:p>
    <w:p w14:paraId="1BD367A9" w14:textId="77777777" w:rsidR="00CA79BA" w:rsidRPr="00270F1D" w:rsidRDefault="00CA79BA" w:rsidP="00F65B00">
      <w:pPr>
        <w:pStyle w:val="ListParagraph"/>
        <w:numPr>
          <w:ilvl w:val="0"/>
          <w:numId w:val="18"/>
        </w:numPr>
        <w:rPr>
          <w:rFonts w:cs="Clear Sans"/>
        </w:rPr>
      </w:pPr>
      <w:r w:rsidRPr="00270F1D">
        <w:rPr>
          <w:rFonts w:cs="Clear Sans"/>
          <w:b/>
        </w:rPr>
        <w:t>Other sectors databases</w:t>
      </w:r>
      <w:r w:rsidRPr="00270F1D">
        <w:rPr>
          <w:rFonts w:cs="Clear Sans"/>
        </w:rPr>
        <w:t>: PlantFacts (steel plant data, including status and type); Cemnet and Global Cement Directory (cement plant databases); combined with EY´s emissions intensity model per plant by type;</w:t>
      </w:r>
    </w:p>
    <w:p w14:paraId="183C8A4D" w14:textId="727C7944" w:rsidR="00CA79BA" w:rsidRPr="00270F1D" w:rsidRDefault="00CA79BA" w:rsidP="00F65B00">
      <w:pPr>
        <w:pStyle w:val="ListParagraph"/>
        <w:numPr>
          <w:ilvl w:val="0"/>
          <w:numId w:val="18"/>
        </w:numPr>
        <w:rPr>
          <w:rFonts w:cs="Clear Sans"/>
        </w:rPr>
      </w:pPr>
      <w:r w:rsidRPr="00270F1D">
        <w:rPr>
          <w:rFonts w:cs="Clear Sans"/>
          <w:b/>
        </w:rPr>
        <w:t>Bloomberg</w:t>
      </w:r>
      <w:r w:rsidR="00830959" w:rsidRPr="00270F1D">
        <w:rPr>
          <w:rFonts w:cs="Clear Sans"/>
        </w:rPr>
        <w:t>.</w:t>
      </w:r>
      <w:r w:rsidRPr="00270F1D">
        <w:rPr>
          <w:rFonts w:cs="Clear Sans"/>
        </w:rPr>
        <w:t xml:space="preserve"> </w:t>
      </w:r>
      <w:r w:rsidR="00FA682B" w:rsidRPr="00270F1D">
        <w:rPr>
          <w:rFonts w:cs="Clear Sans"/>
          <w:lang w:val="en-AU"/>
        </w:rPr>
        <w:t>F</w:t>
      </w:r>
      <w:r w:rsidRPr="00270F1D">
        <w:rPr>
          <w:rFonts w:cs="Clear Sans"/>
        </w:rPr>
        <w:t>inancial data</w:t>
      </w:r>
      <w:r w:rsidR="00830959" w:rsidRPr="00270F1D">
        <w:rPr>
          <w:rFonts w:cs="Clear Sans"/>
        </w:rPr>
        <w:t xml:space="preserve"> with information about sector classification, share price, unique identifiers, etc.</w:t>
      </w:r>
      <w:r w:rsidRPr="00270F1D">
        <w:rPr>
          <w:rFonts w:cs="Clear Sans"/>
        </w:rPr>
        <w:t>;</w:t>
      </w:r>
    </w:p>
    <w:p w14:paraId="65925F85" w14:textId="74953DF9" w:rsidR="00CA79BA" w:rsidRPr="00270F1D" w:rsidRDefault="00CA79BA" w:rsidP="00F65B00">
      <w:pPr>
        <w:pStyle w:val="ListParagraph"/>
        <w:numPr>
          <w:ilvl w:val="0"/>
          <w:numId w:val="18"/>
        </w:numPr>
        <w:rPr>
          <w:rFonts w:cs="Clear Sans"/>
        </w:rPr>
      </w:pPr>
      <w:r w:rsidRPr="00270F1D">
        <w:rPr>
          <w:rFonts w:cs="Clear Sans"/>
          <w:b/>
        </w:rPr>
        <w:t>Morningstar</w:t>
      </w:r>
      <w:r w:rsidR="00830959" w:rsidRPr="00270F1D">
        <w:rPr>
          <w:rFonts w:cs="Clear Sans"/>
          <w:b/>
        </w:rPr>
        <w:t>.</w:t>
      </w:r>
      <w:r w:rsidRPr="00270F1D">
        <w:rPr>
          <w:rFonts w:cs="Clear Sans"/>
        </w:rPr>
        <w:t xml:space="preserve"> </w:t>
      </w:r>
      <w:r w:rsidR="00FA682B" w:rsidRPr="00270F1D">
        <w:rPr>
          <w:rFonts w:cs="Clear Sans"/>
          <w:lang w:val="en-AU"/>
        </w:rPr>
        <w:t>D</w:t>
      </w:r>
      <w:r w:rsidRPr="00270F1D">
        <w:rPr>
          <w:rFonts w:cs="Clear Sans"/>
        </w:rPr>
        <w:t xml:space="preserve">atabase on funds that are </w:t>
      </w:r>
      <w:r w:rsidR="00830959" w:rsidRPr="00270F1D">
        <w:rPr>
          <w:rFonts w:cs="Clear Sans"/>
        </w:rPr>
        <w:t xml:space="preserve">currently </w:t>
      </w:r>
      <w:r w:rsidRPr="00270F1D">
        <w:rPr>
          <w:rFonts w:cs="Clear Sans"/>
        </w:rPr>
        <w:t>used for the peer comparison.</w:t>
      </w:r>
    </w:p>
    <w:p w14:paraId="3B677052" w14:textId="32970B75" w:rsidR="00CA79BA" w:rsidRDefault="00CA79BA" w:rsidP="00E70B13">
      <w:pPr>
        <w:rPr>
          <w:rFonts w:ascii="Clear Sans" w:hAnsi="Clear Sans" w:cs="Clear Sans"/>
        </w:rPr>
      </w:pPr>
      <w:r w:rsidRPr="00270F1D">
        <w:rPr>
          <w:rFonts w:ascii="Clear Sans" w:hAnsi="Clear Sans" w:cs="Clear Sans"/>
        </w:rPr>
        <w:t>The following table gives an overview of the asset level data sources per sector</w:t>
      </w:r>
      <w:r w:rsidR="00E70B13" w:rsidRPr="00270F1D">
        <w:rPr>
          <w:rFonts w:ascii="Clear Sans" w:hAnsi="Clear Sans" w:cs="Clear Sans"/>
        </w:rPr>
        <w:t xml:space="preserve"> as well as</w:t>
      </w:r>
      <w:r w:rsidRPr="00270F1D">
        <w:rPr>
          <w:rFonts w:ascii="Clear Sans" w:hAnsi="Clear Sans" w:cs="Clear Sans"/>
        </w:rPr>
        <w:t xml:space="preserve"> the analysis type that is possible due to data availability and </w:t>
      </w:r>
      <w:r w:rsidR="00E70B13" w:rsidRPr="00270F1D">
        <w:rPr>
          <w:rFonts w:ascii="Clear Sans" w:hAnsi="Clear Sans" w:cs="Clear Sans"/>
        </w:rPr>
        <w:t>sourcing date of the data</w:t>
      </w:r>
      <w:r w:rsidRPr="00270F1D">
        <w:rPr>
          <w:rFonts w:ascii="Clear Sans" w:hAnsi="Clear Sans" w:cs="Clear Sans"/>
        </w:rPr>
        <w:t xml:space="preserve">. </w:t>
      </w:r>
    </w:p>
    <w:p w14:paraId="70AA31B4" w14:textId="66B71CFF" w:rsidR="0026029A" w:rsidRPr="00270F1D" w:rsidRDefault="0026029A" w:rsidP="00E70B13">
      <w:pPr>
        <w:rPr>
          <w:rFonts w:ascii="Clear Sans" w:hAnsi="Clear Sans" w:cs="Clear Sans"/>
        </w:rPr>
      </w:pPr>
      <w:r w:rsidRPr="00270F1D">
        <w:rPr>
          <w:rFonts w:ascii="Clear Sans" w:hAnsi="Clear Sans" w:cs="Clear Sans"/>
        </w:rPr>
        <w:lastRenderedPageBreak/>
        <w:t xml:space="preserve">The financial data and peer data </w:t>
      </w:r>
      <w:proofErr w:type="gramStart"/>
      <w:r w:rsidRPr="00270F1D">
        <w:rPr>
          <w:rFonts w:ascii="Clear Sans" w:hAnsi="Clear Sans" w:cs="Clear Sans"/>
        </w:rPr>
        <w:t>is</w:t>
      </w:r>
      <w:proofErr w:type="gramEnd"/>
      <w:r w:rsidRPr="00270F1D">
        <w:rPr>
          <w:rFonts w:ascii="Clear Sans" w:hAnsi="Clear Sans" w:cs="Clear Sans"/>
        </w:rPr>
        <w:t xml:space="preserve"> taken as of the 31.12.2017, thus your portfolio data should also be as of end of 2017.</w:t>
      </w:r>
    </w:p>
    <w:p w14:paraId="092ACE36" w14:textId="167650E3" w:rsidR="00E70B13" w:rsidRPr="00270F1D" w:rsidRDefault="00E70B13" w:rsidP="00E70B13">
      <w:pPr>
        <w:pStyle w:val="Caption"/>
        <w:rPr>
          <w:rFonts w:ascii="Clear Sans" w:hAnsi="Clear Sans" w:cs="Clear Sans"/>
        </w:rPr>
      </w:pPr>
      <w:r w:rsidRPr="00270F1D">
        <w:rPr>
          <w:rFonts w:ascii="Clear Sans" w:hAnsi="Clear Sans" w:cs="Clear Sans"/>
        </w:rPr>
        <w:t xml:space="preserve">Table </w:t>
      </w:r>
      <w:r w:rsidR="008E7EAD" w:rsidRPr="00270F1D">
        <w:rPr>
          <w:rFonts w:ascii="Clear Sans" w:hAnsi="Clear Sans" w:cs="Clear Sans"/>
          <w:noProof/>
        </w:rPr>
        <w:fldChar w:fldCharType="begin"/>
      </w:r>
      <w:r w:rsidR="008E7EAD" w:rsidRPr="00270F1D">
        <w:rPr>
          <w:rFonts w:ascii="Clear Sans" w:hAnsi="Clear Sans" w:cs="Clear Sans"/>
          <w:noProof/>
        </w:rPr>
        <w:instrText xml:space="preserve"> SEQ Table \* ARABIC </w:instrText>
      </w:r>
      <w:r w:rsidR="008E7EAD" w:rsidRPr="00270F1D">
        <w:rPr>
          <w:rFonts w:ascii="Clear Sans" w:hAnsi="Clear Sans" w:cs="Clear Sans"/>
          <w:noProof/>
        </w:rPr>
        <w:fldChar w:fldCharType="separate"/>
      </w:r>
      <w:r w:rsidR="00140D03">
        <w:rPr>
          <w:rFonts w:ascii="Clear Sans" w:hAnsi="Clear Sans" w:cs="Clear Sans"/>
          <w:noProof/>
        </w:rPr>
        <w:t>3</w:t>
      </w:r>
      <w:r w:rsidR="008E7EAD" w:rsidRPr="00270F1D">
        <w:rPr>
          <w:rFonts w:ascii="Clear Sans" w:hAnsi="Clear Sans" w:cs="Clear Sans"/>
          <w:noProof/>
        </w:rPr>
        <w:fldChar w:fldCharType="end"/>
      </w:r>
      <w:r w:rsidRPr="00270F1D">
        <w:rPr>
          <w:rFonts w:ascii="Clear Sans" w:hAnsi="Clear Sans" w:cs="Clear Sans"/>
        </w:rPr>
        <w:t xml:space="preserve">. Asset level data </w:t>
      </w:r>
      <w:r w:rsidR="00FB18E5" w:rsidRPr="00270F1D">
        <w:rPr>
          <w:rFonts w:ascii="Clear Sans" w:hAnsi="Clear Sans" w:cs="Clear Sans"/>
        </w:rPr>
        <w:t xml:space="preserve">used in the analysis: </w:t>
      </w:r>
      <w:r w:rsidRPr="00270F1D">
        <w:rPr>
          <w:rFonts w:ascii="Clear Sans" w:hAnsi="Clear Sans" w:cs="Clear Sans"/>
        </w:rPr>
        <w:t>sources</w:t>
      </w:r>
      <w:r w:rsidR="00FB18E5" w:rsidRPr="00270F1D">
        <w:rPr>
          <w:rFonts w:ascii="Clear Sans" w:hAnsi="Clear Sans" w:cs="Clear Sans"/>
        </w:rPr>
        <w:t>, analysis type due to data granularity and source date</w:t>
      </w:r>
    </w:p>
    <w:tbl>
      <w:tblPr>
        <w:tblStyle w:val="PlainTable2"/>
        <w:tblW w:w="0" w:type="auto"/>
        <w:jc w:val="center"/>
        <w:tblLook w:val="04A0" w:firstRow="1" w:lastRow="0" w:firstColumn="1" w:lastColumn="0" w:noHBand="0" w:noVBand="1"/>
      </w:tblPr>
      <w:tblGrid>
        <w:gridCol w:w="2268"/>
        <w:gridCol w:w="2918"/>
        <w:gridCol w:w="2201"/>
        <w:gridCol w:w="2196"/>
      </w:tblGrid>
      <w:tr w:rsidR="00CA79BA" w:rsidRPr="00270F1D" w14:paraId="3A7F8AA2" w14:textId="77777777" w:rsidTr="002602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2E2F31"/>
            <w:vAlign w:val="center"/>
          </w:tcPr>
          <w:p w14:paraId="0A4CCF10" w14:textId="77777777" w:rsidR="00CA79BA" w:rsidRPr="0053583A" w:rsidRDefault="00CA79BA" w:rsidP="0053583A">
            <w:pPr>
              <w:pStyle w:val="BodyText"/>
              <w:jc w:val="center"/>
              <w:rPr>
                <w:color w:val="FFFFFF" w:themeColor="background1"/>
              </w:rPr>
            </w:pPr>
            <w:r w:rsidRPr="0053583A">
              <w:rPr>
                <w:color w:val="FFFFFF" w:themeColor="background1"/>
              </w:rPr>
              <w:t>Sector</w:t>
            </w:r>
          </w:p>
        </w:tc>
        <w:tc>
          <w:tcPr>
            <w:tcW w:w="2918" w:type="dxa"/>
            <w:shd w:val="clear" w:color="auto" w:fill="2E2F31"/>
            <w:vAlign w:val="center"/>
          </w:tcPr>
          <w:p w14:paraId="3FB0410D" w14:textId="77777777" w:rsidR="00CA79BA" w:rsidRPr="0053583A" w:rsidRDefault="00CA79BA"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53583A">
              <w:rPr>
                <w:color w:val="FFFFFF" w:themeColor="background1"/>
              </w:rPr>
              <w:t>Dataprovider</w:t>
            </w:r>
            <w:proofErr w:type="spellEnd"/>
          </w:p>
        </w:tc>
        <w:tc>
          <w:tcPr>
            <w:tcW w:w="2201" w:type="dxa"/>
            <w:shd w:val="clear" w:color="auto" w:fill="2E2F31"/>
            <w:vAlign w:val="center"/>
          </w:tcPr>
          <w:p w14:paraId="67BC57F4" w14:textId="77777777" w:rsidR="00CA79BA" w:rsidRPr="0053583A" w:rsidRDefault="00CA79BA"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Data granularity /Analysis</w:t>
            </w:r>
          </w:p>
        </w:tc>
        <w:tc>
          <w:tcPr>
            <w:tcW w:w="2196" w:type="dxa"/>
            <w:shd w:val="clear" w:color="auto" w:fill="2E2F31"/>
            <w:vAlign w:val="center"/>
          </w:tcPr>
          <w:p w14:paraId="3F870960" w14:textId="0C308681" w:rsidR="00CA79BA" w:rsidRPr="0053583A" w:rsidRDefault="00FB18E5" w:rsidP="0053583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3583A">
              <w:rPr>
                <w:color w:val="FFFFFF" w:themeColor="background1"/>
              </w:rPr>
              <w:t>Source d</w:t>
            </w:r>
            <w:r w:rsidR="00CA79BA" w:rsidRPr="0053583A">
              <w:rPr>
                <w:color w:val="FFFFFF" w:themeColor="background1"/>
              </w:rPr>
              <w:t>ate</w:t>
            </w:r>
          </w:p>
        </w:tc>
      </w:tr>
      <w:tr w:rsidR="00E47277" w:rsidRPr="00270F1D" w14:paraId="71948949" w14:textId="77777777" w:rsidTr="00E00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cPr>
          <w:p w14:paraId="49F62BC3" w14:textId="19A3A7A6" w:rsidR="00E47277" w:rsidRPr="0053583A" w:rsidRDefault="00E47277" w:rsidP="00E47277">
            <w:pPr>
              <w:pStyle w:val="BodyText"/>
              <w:jc w:val="center"/>
              <w:rPr>
                <w:b w:val="0"/>
              </w:rPr>
            </w:pPr>
            <w:r w:rsidRPr="007A1A09">
              <w:t>Automotive</w:t>
            </w:r>
          </w:p>
        </w:tc>
        <w:tc>
          <w:tcPr>
            <w:tcW w:w="2918" w:type="dxa"/>
            <w:shd w:val="clear" w:color="auto" w:fill="F2F2F2"/>
          </w:tcPr>
          <w:p w14:paraId="03F9B98D" w14:textId="1B2F7084"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proofErr w:type="spellStart"/>
            <w:r w:rsidRPr="007A1A09">
              <w:t>WardsAuto</w:t>
            </w:r>
            <w:proofErr w:type="spellEnd"/>
            <w:r w:rsidRPr="007A1A09">
              <w:t xml:space="preserve">/ </w:t>
            </w:r>
            <w:proofErr w:type="spellStart"/>
            <w:r w:rsidRPr="007A1A09">
              <w:t>AutoForecast</w:t>
            </w:r>
            <w:proofErr w:type="spellEnd"/>
            <w:r w:rsidRPr="007A1A09">
              <w:t xml:space="preserve"> Solutions</w:t>
            </w:r>
          </w:p>
        </w:tc>
        <w:tc>
          <w:tcPr>
            <w:tcW w:w="2201" w:type="dxa"/>
            <w:shd w:val="clear" w:color="auto" w:fill="F2F2F2"/>
          </w:tcPr>
          <w:p w14:paraId="1E50044E" w14:textId="3956C763"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 xml:space="preserve">Scenario Analysis </w:t>
            </w:r>
          </w:p>
        </w:tc>
        <w:tc>
          <w:tcPr>
            <w:tcW w:w="2196" w:type="dxa"/>
            <w:shd w:val="clear" w:color="auto" w:fill="F2F2F2"/>
          </w:tcPr>
          <w:p w14:paraId="7EC1F302" w14:textId="1F8C3F26"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31/12/2017</w:t>
            </w:r>
          </w:p>
        </w:tc>
      </w:tr>
      <w:tr w:rsidR="00E47277" w:rsidRPr="00270F1D" w14:paraId="7B83BB32" w14:textId="77777777" w:rsidTr="00E0088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A63B592" w14:textId="7D8436E4" w:rsidR="00E47277" w:rsidRPr="0053583A" w:rsidRDefault="00E47277" w:rsidP="00E47277">
            <w:pPr>
              <w:pStyle w:val="BodyText"/>
              <w:jc w:val="center"/>
              <w:rPr>
                <w:b w:val="0"/>
                <w:bCs w:val="0"/>
              </w:rPr>
            </w:pPr>
            <w:r w:rsidRPr="007A1A09">
              <w:t>Aviation</w:t>
            </w:r>
          </w:p>
        </w:tc>
        <w:tc>
          <w:tcPr>
            <w:tcW w:w="2918" w:type="dxa"/>
          </w:tcPr>
          <w:p w14:paraId="0E398C37" w14:textId="6FA9395B"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FlightGlobal (</w:t>
            </w:r>
            <w:proofErr w:type="spellStart"/>
            <w:r w:rsidRPr="007A1A09">
              <w:t>FlightAscend</w:t>
            </w:r>
            <w:proofErr w:type="spellEnd"/>
            <w:r w:rsidRPr="007A1A09">
              <w:t>)</w:t>
            </w:r>
          </w:p>
        </w:tc>
        <w:tc>
          <w:tcPr>
            <w:tcW w:w="2201" w:type="dxa"/>
          </w:tcPr>
          <w:p w14:paraId="50C4DC37" w14:textId="07CF4C33"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Emission Intensity</w:t>
            </w:r>
          </w:p>
        </w:tc>
        <w:tc>
          <w:tcPr>
            <w:tcW w:w="2196" w:type="dxa"/>
          </w:tcPr>
          <w:p w14:paraId="2B4119B3" w14:textId="57CFB6FE"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31/07/2017</w:t>
            </w:r>
          </w:p>
        </w:tc>
      </w:tr>
      <w:tr w:rsidR="00E47277" w:rsidRPr="00270F1D" w14:paraId="7358850E" w14:textId="77777777" w:rsidTr="00E00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cPr>
          <w:p w14:paraId="07B15ED6" w14:textId="1F97FF88" w:rsidR="00E47277" w:rsidRPr="0053583A" w:rsidRDefault="00E47277" w:rsidP="00E47277">
            <w:pPr>
              <w:pStyle w:val="BodyText"/>
              <w:jc w:val="center"/>
              <w:rPr>
                <w:b w:val="0"/>
              </w:rPr>
            </w:pPr>
            <w:r w:rsidRPr="007A1A09">
              <w:t>Cement</w:t>
            </w:r>
          </w:p>
        </w:tc>
        <w:tc>
          <w:tcPr>
            <w:tcW w:w="2918" w:type="dxa"/>
            <w:shd w:val="clear" w:color="auto" w:fill="F2F2F2"/>
          </w:tcPr>
          <w:p w14:paraId="3A8FD9FC" w14:textId="2612C749"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proofErr w:type="spellStart"/>
            <w:r w:rsidRPr="007A1A09">
              <w:t>Cemnet</w:t>
            </w:r>
            <w:proofErr w:type="spellEnd"/>
            <w:r w:rsidRPr="007A1A09">
              <w:t xml:space="preserve"> &amp; Global Cement Directory</w:t>
            </w:r>
          </w:p>
        </w:tc>
        <w:tc>
          <w:tcPr>
            <w:tcW w:w="2201" w:type="dxa"/>
            <w:shd w:val="clear" w:color="auto" w:fill="F2F2F2"/>
          </w:tcPr>
          <w:p w14:paraId="3BAA72C3" w14:textId="3025D87D"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Emissions Intensity</w:t>
            </w:r>
          </w:p>
        </w:tc>
        <w:tc>
          <w:tcPr>
            <w:tcW w:w="2196" w:type="dxa"/>
            <w:shd w:val="clear" w:color="auto" w:fill="F2F2F2"/>
          </w:tcPr>
          <w:p w14:paraId="150170FE" w14:textId="0CBF37B5"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30/06/2017</w:t>
            </w:r>
          </w:p>
        </w:tc>
      </w:tr>
      <w:tr w:rsidR="00E47277" w:rsidRPr="00270F1D" w14:paraId="5F52CD58" w14:textId="77777777" w:rsidTr="00E0088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5F5608D" w14:textId="1B7F3DDF" w:rsidR="00E47277" w:rsidRPr="0053583A" w:rsidRDefault="00E47277" w:rsidP="00E47277">
            <w:pPr>
              <w:pStyle w:val="BodyText"/>
              <w:jc w:val="center"/>
              <w:rPr>
                <w:b w:val="0"/>
              </w:rPr>
            </w:pPr>
            <w:r w:rsidRPr="007A1A09">
              <w:t>Coal</w:t>
            </w:r>
          </w:p>
        </w:tc>
        <w:tc>
          <w:tcPr>
            <w:tcW w:w="2918" w:type="dxa"/>
          </w:tcPr>
          <w:p w14:paraId="5185BB71" w14:textId="5F74DEDD"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proofErr w:type="spellStart"/>
            <w:r w:rsidRPr="007A1A09">
              <w:t>GlobalData</w:t>
            </w:r>
            <w:proofErr w:type="spellEnd"/>
          </w:p>
        </w:tc>
        <w:tc>
          <w:tcPr>
            <w:tcW w:w="2201" w:type="dxa"/>
          </w:tcPr>
          <w:p w14:paraId="1274BD10" w14:textId="2A7C4074"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Scenario Analysis</w:t>
            </w:r>
          </w:p>
        </w:tc>
        <w:tc>
          <w:tcPr>
            <w:tcW w:w="2196" w:type="dxa"/>
          </w:tcPr>
          <w:p w14:paraId="2385CE94" w14:textId="469636B0"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28/02/2018</w:t>
            </w:r>
          </w:p>
        </w:tc>
      </w:tr>
      <w:tr w:rsidR="00E47277" w:rsidRPr="00270F1D" w14:paraId="137C3ACE" w14:textId="77777777" w:rsidTr="00E00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cPr>
          <w:p w14:paraId="069C910C" w14:textId="647B5850" w:rsidR="00E47277" w:rsidRPr="0053583A" w:rsidRDefault="00E47277" w:rsidP="00E47277">
            <w:pPr>
              <w:pStyle w:val="BodyText"/>
              <w:jc w:val="center"/>
              <w:rPr>
                <w:b w:val="0"/>
              </w:rPr>
            </w:pPr>
            <w:r w:rsidRPr="007A1A09">
              <w:t>Power</w:t>
            </w:r>
          </w:p>
        </w:tc>
        <w:tc>
          <w:tcPr>
            <w:tcW w:w="2918" w:type="dxa"/>
            <w:shd w:val="clear" w:color="auto" w:fill="F2F2F2"/>
          </w:tcPr>
          <w:p w14:paraId="3F75384D" w14:textId="400882BF"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proofErr w:type="spellStart"/>
            <w:r w:rsidRPr="007A1A09">
              <w:t>GlobalData</w:t>
            </w:r>
            <w:proofErr w:type="spellEnd"/>
          </w:p>
        </w:tc>
        <w:tc>
          <w:tcPr>
            <w:tcW w:w="2201" w:type="dxa"/>
            <w:shd w:val="clear" w:color="auto" w:fill="F2F2F2"/>
          </w:tcPr>
          <w:p w14:paraId="0EFDABA1" w14:textId="2B9CA293"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Scenario Analysis</w:t>
            </w:r>
          </w:p>
        </w:tc>
        <w:tc>
          <w:tcPr>
            <w:tcW w:w="2196" w:type="dxa"/>
            <w:shd w:val="clear" w:color="auto" w:fill="F2F2F2"/>
          </w:tcPr>
          <w:p w14:paraId="34AE082B" w14:textId="6183E4CD"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28/02/2018</w:t>
            </w:r>
          </w:p>
        </w:tc>
      </w:tr>
      <w:tr w:rsidR="00E47277" w:rsidRPr="00270F1D" w14:paraId="447BDE27" w14:textId="77777777" w:rsidTr="00E0088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1FE8BADE" w14:textId="7EF64BA9" w:rsidR="00E47277" w:rsidRPr="0053583A" w:rsidRDefault="00E47277" w:rsidP="00E47277">
            <w:pPr>
              <w:pStyle w:val="BodyText"/>
              <w:jc w:val="center"/>
              <w:rPr>
                <w:b w:val="0"/>
              </w:rPr>
            </w:pPr>
            <w:proofErr w:type="spellStart"/>
            <w:r w:rsidRPr="007A1A09">
              <w:t>Oil&amp;Gas</w:t>
            </w:r>
            <w:proofErr w:type="spellEnd"/>
          </w:p>
        </w:tc>
        <w:tc>
          <w:tcPr>
            <w:tcW w:w="2918" w:type="dxa"/>
          </w:tcPr>
          <w:p w14:paraId="3E559BCF" w14:textId="21081601"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proofErr w:type="spellStart"/>
            <w:r w:rsidRPr="007A1A09">
              <w:t>GlobalData</w:t>
            </w:r>
            <w:proofErr w:type="spellEnd"/>
          </w:p>
        </w:tc>
        <w:tc>
          <w:tcPr>
            <w:tcW w:w="2201" w:type="dxa"/>
          </w:tcPr>
          <w:p w14:paraId="754720C6" w14:textId="2CA7569C"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Scenario Analysis</w:t>
            </w:r>
          </w:p>
        </w:tc>
        <w:tc>
          <w:tcPr>
            <w:tcW w:w="2196" w:type="dxa"/>
          </w:tcPr>
          <w:p w14:paraId="44C13E32" w14:textId="19B24331"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28/02/2018</w:t>
            </w:r>
          </w:p>
        </w:tc>
      </w:tr>
      <w:tr w:rsidR="00E47277" w:rsidRPr="00270F1D" w14:paraId="07B62554" w14:textId="77777777" w:rsidTr="00E00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D276552" w14:textId="66C85CF4" w:rsidR="00E47277" w:rsidRPr="0053583A" w:rsidRDefault="00E47277" w:rsidP="00E47277">
            <w:pPr>
              <w:pStyle w:val="BodyText"/>
              <w:jc w:val="center"/>
            </w:pPr>
            <w:r w:rsidRPr="007A1A09">
              <w:t>Shipping</w:t>
            </w:r>
          </w:p>
        </w:tc>
        <w:tc>
          <w:tcPr>
            <w:tcW w:w="2918" w:type="dxa"/>
          </w:tcPr>
          <w:p w14:paraId="7B66CCC2" w14:textId="2FA2F8A6"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proofErr w:type="spellStart"/>
            <w:r w:rsidRPr="007A1A09">
              <w:t>RightSHip</w:t>
            </w:r>
            <w:proofErr w:type="spellEnd"/>
          </w:p>
        </w:tc>
        <w:tc>
          <w:tcPr>
            <w:tcW w:w="2201" w:type="dxa"/>
          </w:tcPr>
          <w:p w14:paraId="31CA23BE" w14:textId="1A29C363"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Emission Intensity</w:t>
            </w:r>
          </w:p>
        </w:tc>
        <w:tc>
          <w:tcPr>
            <w:tcW w:w="2196" w:type="dxa"/>
          </w:tcPr>
          <w:p w14:paraId="32C9EDD7" w14:textId="4F396097" w:rsidR="00E47277" w:rsidRPr="00270F1D" w:rsidRDefault="00E47277" w:rsidP="00E47277">
            <w:pPr>
              <w:pStyle w:val="BodyText"/>
              <w:jc w:val="center"/>
              <w:cnfStyle w:val="000000100000" w:firstRow="0" w:lastRow="0" w:firstColumn="0" w:lastColumn="0" w:oddVBand="0" w:evenVBand="0" w:oddHBand="1" w:evenHBand="0" w:firstRowFirstColumn="0" w:firstRowLastColumn="0" w:lastRowFirstColumn="0" w:lastRowLastColumn="0"/>
            </w:pPr>
            <w:r w:rsidRPr="007A1A09">
              <w:t>28/02/2018</w:t>
            </w:r>
          </w:p>
        </w:tc>
      </w:tr>
      <w:tr w:rsidR="00E47277" w:rsidRPr="00270F1D" w14:paraId="718BBDD1" w14:textId="77777777" w:rsidTr="00E00883">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cPr>
          <w:p w14:paraId="5F065DC6" w14:textId="6BF08660" w:rsidR="00E47277" w:rsidRPr="0053583A" w:rsidRDefault="00E47277" w:rsidP="00E47277">
            <w:pPr>
              <w:pStyle w:val="BodyText"/>
              <w:jc w:val="center"/>
              <w:rPr>
                <w:b w:val="0"/>
              </w:rPr>
            </w:pPr>
            <w:r w:rsidRPr="007A1A09">
              <w:t>Steel</w:t>
            </w:r>
          </w:p>
        </w:tc>
        <w:tc>
          <w:tcPr>
            <w:tcW w:w="2918" w:type="dxa"/>
            <w:shd w:val="clear" w:color="auto" w:fill="F2F2F2"/>
          </w:tcPr>
          <w:p w14:paraId="12486C72" w14:textId="4FDB30D7"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proofErr w:type="spellStart"/>
            <w:r w:rsidRPr="007A1A09">
              <w:t>PlantFacts</w:t>
            </w:r>
            <w:proofErr w:type="spellEnd"/>
          </w:p>
        </w:tc>
        <w:tc>
          <w:tcPr>
            <w:tcW w:w="2201" w:type="dxa"/>
            <w:shd w:val="clear" w:color="auto" w:fill="F2F2F2"/>
          </w:tcPr>
          <w:p w14:paraId="7F74FA06" w14:textId="00349760"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Emission Intensity</w:t>
            </w:r>
          </w:p>
        </w:tc>
        <w:tc>
          <w:tcPr>
            <w:tcW w:w="2196" w:type="dxa"/>
            <w:shd w:val="clear" w:color="auto" w:fill="F2F2F2"/>
          </w:tcPr>
          <w:p w14:paraId="45A8A341" w14:textId="1EC43DD4" w:rsidR="00E47277" w:rsidRPr="00270F1D" w:rsidRDefault="00E47277" w:rsidP="00E47277">
            <w:pPr>
              <w:pStyle w:val="BodyText"/>
              <w:jc w:val="center"/>
              <w:cnfStyle w:val="000000000000" w:firstRow="0" w:lastRow="0" w:firstColumn="0" w:lastColumn="0" w:oddVBand="0" w:evenVBand="0" w:oddHBand="0" w:evenHBand="0" w:firstRowFirstColumn="0" w:firstRowLastColumn="0" w:lastRowFirstColumn="0" w:lastRowLastColumn="0"/>
            </w:pPr>
            <w:r w:rsidRPr="007A1A09">
              <w:t>31/03/2017</w:t>
            </w:r>
          </w:p>
        </w:tc>
      </w:tr>
    </w:tbl>
    <w:p w14:paraId="4B519C6C" w14:textId="77777777" w:rsidR="0025070E" w:rsidRDefault="0025070E" w:rsidP="0041653D">
      <w:bookmarkStart w:id="2" w:name="_GoBack"/>
    </w:p>
    <w:bookmarkEnd w:id="2"/>
    <w:p w14:paraId="3C5FDBE0" w14:textId="19E04206" w:rsidR="00DF3FFB" w:rsidRPr="0025070E" w:rsidRDefault="00DF3FFB" w:rsidP="0025070E">
      <w:pPr>
        <w:pStyle w:val="Heading4"/>
        <w:rPr>
          <w:rFonts w:ascii="Clear Sans" w:hAnsi="Clear Sans" w:cs="Clear Sans"/>
        </w:rPr>
      </w:pPr>
      <w:r w:rsidRPr="0025070E">
        <w:rPr>
          <w:rFonts w:ascii="Clear Sans" w:hAnsi="Clear Sans" w:cs="Clear Sans"/>
        </w:rPr>
        <w:t>Data Coverage</w:t>
      </w:r>
    </w:p>
    <w:p w14:paraId="4482E622" w14:textId="4B1B907F" w:rsidR="00DF3FFB" w:rsidRPr="00270F1D" w:rsidRDefault="00BB56DA" w:rsidP="004479A4">
      <w:pPr>
        <w:rPr>
          <w:rFonts w:ascii="Clear Sans" w:hAnsi="Clear Sans" w:cs="Clear Sans"/>
        </w:rPr>
      </w:pPr>
      <w:r w:rsidRPr="00270F1D">
        <w:rPr>
          <w:rFonts w:ascii="Clear Sans" w:hAnsi="Clear Sans" w:cs="Clear Sans"/>
        </w:rPr>
        <w:t>The c</w:t>
      </w:r>
      <w:r w:rsidR="00DF3FFB" w:rsidRPr="00270F1D">
        <w:rPr>
          <w:rFonts w:ascii="Clear Sans" w:hAnsi="Clear Sans" w:cs="Clear Sans"/>
        </w:rPr>
        <w:t>overage</w:t>
      </w:r>
      <w:r w:rsidRPr="00270F1D">
        <w:rPr>
          <w:rFonts w:ascii="Clear Sans" w:hAnsi="Clear Sans" w:cs="Clear Sans"/>
        </w:rPr>
        <w:t xml:space="preserve"> both in terms of production data covered by the asset level data bases as well as the coverage of </w:t>
      </w:r>
      <w:r w:rsidR="00CA79BA" w:rsidRPr="00270F1D">
        <w:rPr>
          <w:rFonts w:ascii="Clear Sans" w:hAnsi="Clear Sans" w:cs="Clear Sans"/>
        </w:rPr>
        <w:t xml:space="preserve">financial instruments in the sector is presented in the following </w:t>
      </w:r>
      <w:r w:rsidR="00462352" w:rsidRPr="00270F1D">
        <w:rPr>
          <w:rFonts w:ascii="Clear Sans" w:hAnsi="Clear Sans" w:cs="Clear Sans"/>
        </w:rPr>
        <w:t>2</w:t>
      </w:r>
      <w:r w:rsidR="00CA79BA" w:rsidRPr="00270F1D">
        <w:rPr>
          <w:rFonts w:ascii="Clear Sans" w:hAnsi="Clear Sans" w:cs="Clear Sans"/>
        </w:rPr>
        <w:t>-pager.</w:t>
      </w:r>
    </w:p>
    <w:p w14:paraId="44E75FFE" w14:textId="75F0BEC0" w:rsidR="00B9591C" w:rsidRPr="00270F1D" w:rsidRDefault="00C315AF" w:rsidP="00DF3FFB">
      <w:pPr>
        <w:spacing w:before="100" w:beforeAutospacing="1" w:after="100" w:afterAutospacing="1"/>
        <w:jc w:val="center"/>
        <w:rPr>
          <w:rFonts w:ascii="Clear Sans" w:eastAsia="Times New Roman" w:hAnsi="Clear Sans" w:cs="Clear Sans"/>
          <w:sz w:val="24"/>
          <w:szCs w:val="24"/>
        </w:rPr>
      </w:pPr>
      <w:r w:rsidRPr="00270F1D">
        <w:rPr>
          <w:rFonts w:ascii="Clear Sans" w:eastAsia="Times New Roman" w:hAnsi="Clear Sans" w:cs="Clear Sans"/>
          <w:noProof/>
          <w:color w:val="0000FF"/>
          <w:sz w:val="24"/>
          <w:szCs w:val="24"/>
        </w:rPr>
        <w:drawing>
          <wp:anchor distT="0" distB="0" distL="114300" distR="114300" simplePos="0" relativeHeight="251659264" behindDoc="0" locked="0" layoutInCell="1" allowOverlap="1" wp14:anchorId="003ADA48" wp14:editId="2FD2BDF1">
            <wp:simplePos x="0" y="0"/>
            <wp:positionH relativeFrom="margin">
              <wp:align>center</wp:align>
            </wp:positionH>
            <wp:positionV relativeFrom="paragraph">
              <wp:posOffset>332105</wp:posOffset>
            </wp:positionV>
            <wp:extent cx="2857500" cy="2019300"/>
            <wp:effectExtent l="0" t="0" r="0" b="0"/>
            <wp:wrapSquare wrapText="bothSides"/>
            <wp:docPr id="1" name="Picture 1" descr="http://www.transitionmonitor.com/wp-content/uploads/2018/07/Coverage_Avatar-pdf-300x21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nsitionmonitor.com/wp-content/uploads/2018/07/Coverage_Avatar-pdf-300x212.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anchor>
        </w:drawing>
      </w:r>
      <w:r w:rsidR="00DF3FFB" w:rsidRPr="00270F1D">
        <w:rPr>
          <w:rFonts w:ascii="Clear Sans" w:eastAsia="Times New Roman" w:hAnsi="Clear Sans" w:cs="Clear Sans"/>
          <w:sz w:val="24"/>
          <w:szCs w:val="24"/>
        </w:rPr>
        <w:t>Data Coverage for PACTA Model</w:t>
      </w:r>
    </w:p>
    <w:p w14:paraId="6CC3844F" w14:textId="119AAD22" w:rsidR="00DF3FFB" w:rsidRPr="00270F1D" w:rsidRDefault="0025070E" w:rsidP="0025070E">
      <w:pPr>
        <w:spacing w:before="100" w:beforeAutospacing="1" w:after="100" w:afterAutospacing="1"/>
        <w:jc w:val="left"/>
        <w:rPr>
          <w:rFonts w:ascii="Clear Sans" w:eastAsia="Times New Roman" w:hAnsi="Clear Sans" w:cs="Clear Sans"/>
          <w:sz w:val="24"/>
          <w:szCs w:val="24"/>
        </w:rPr>
      </w:pPr>
      <w:r>
        <w:rPr>
          <w:rFonts w:ascii="Clear Sans" w:eastAsia="Times New Roman" w:hAnsi="Clear Sans" w:cs="Clear Sans"/>
          <w:sz w:val="24"/>
          <w:szCs w:val="24"/>
        </w:rPr>
        <w:br w:type="textWrapping" w:clear="all"/>
      </w:r>
    </w:p>
    <w:p w14:paraId="23B7C25D" w14:textId="3FC11F43" w:rsidR="00DF3FFB" w:rsidRPr="001F736B" w:rsidRDefault="0026029A" w:rsidP="00DF3FFB">
      <w:pPr>
        <w:spacing w:before="100" w:beforeAutospacing="1" w:after="100" w:afterAutospacing="1"/>
        <w:outlineLvl w:val="4"/>
        <w:rPr>
          <w:rStyle w:val="Strong"/>
          <w:sz w:val="24"/>
          <w:szCs w:val="24"/>
        </w:rPr>
      </w:pPr>
      <w:r w:rsidRPr="001F736B">
        <w:rPr>
          <w:rStyle w:val="Strong"/>
          <w:sz w:val="24"/>
          <w:szCs w:val="24"/>
        </w:rPr>
        <w:t>Caveats/</w:t>
      </w:r>
      <w:r w:rsidR="00DF3FFB" w:rsidRPr="001F736B">
        <w:rPr>
          <w:rStyle w:val="Strong"/>
          <w:sz w:val="24"/>
          <w:szCs w:val="24"/>
        </w:rPr>
        <w:t>Notes on interpreting the results</w:t>
      </w:r>
    </w:p>
    <w:p w14:paraId="5BA82068" w14:textId="77777777" w:rsidR="00DF3FFB" w:rsidRPr="00270F1D" w:rsidRDefault="00DF3FFB" w:rsidP="009166FA">
      <w:pPr>
        <w:rPr>
          <w:rFonts w:ascii="Clear Sans" w:hAnsi="Clear Sans" w:cs="Clear Sans"/>
        </w:rPr>
      </w:pPr>
      <w:r w:rsidRPr="00270F1D">
        <w:rPr>
          <w:rFonts w:ascii="Clear Sans" w:hAnsi="Clear Sans" w:cs="Clear Sans"/>
        </w:rPr>
        <w:t>The following briefly highlights key caveats to the model and the results:</w:t>
      </w:r>
    </w:p>
    <w:p w14:paraId="5BF01F94" w14:textId="73D37F57" w:rsidR="00DF3FFB" w:rsidRPr="00270F1D" w:rsidRDefault="00DF3FFB" w:rsidP="009166FA">
      <w:pPr>
        <w:pStyle w:val="ListParagraph"/>
        <w:numPr>
          <w:ilvl w:val="0"/>
          <w:numId w:val="19"/>
        </w:numPr>
        <w:rPr>
          <w:rFonts w:cs="Clear Sans"/>
        </w:rPr>
      </w:pPr>
      <w:r w:rsidRPr="00270F1D">
        <w:rPr>
          <w:rFonts w:cs="Clear Sans"/>
        </w:rPr>
        <w:t>The forward-looking data is based on current ‘revealed’ plans from companies and is subject to change. The estimates should thus not be interpreted as</w:t>
      </w:r>
      <w:r w:rsidR="009166FA" w:rsidRPr="00270F1D">
        <w:rPr>
          <w:rFonts w:cs="Clear Sans"/>
        </w:rPr>
        <w:t xml:space="preserve"> final</w:t>
      </w:r>
      <w:r w:rsidRPr="00270F1D">
        <w:rPr>
          <w:rFonts w:cs="Clear Sans"/>
        </w:rPr>
        <w:t xml:space="preserve"> </w:t>
      </w:r>
      <w:r w:rsidR="009166FA" w:rsidRPr="00270F1D">
        <w:rPr>
          <w:rFonts w:cs="Clear Sans"/>
        </w:rPr>
        <w:t>predictions</w:t>
      </w:r>
      <w:r w:rsidRPr="00270F1D">
        <w:rPr>
          <w:rFonts w:cs="Clear Sans"/>
        </w:rPr>
        <w:t xml:space="preserve">, but rather the current plans of companies if they don’t change. Another way to interpret the results is the call for action </w:t>
      </w:r>
      <w:proofErr w:type="gramStart"/>
      <w:r w:rsidRPr="00270F1D">
        <w:rPr>
          <w:rFonts w:cs="Clear Sans"/>
        </w:rPr>
        <w:t>with regard to</w:t>
      </w:r>
      <w:proofErr w:type="gramEnd"/>
      <w:r w:rsidRPr="00270F1D">
        <w:rPr>
          <w:rFonts w:cs="Clear Sans"/>
        </w:rPr>
        <w:t xml:space="preserve"> the required change to align with the 2°C economic trend. Given the 5-year time horizon, there is a high degree of certainty that plans will still change in some way over time. Similarly, the participating financial institutions can of course alter their portfolio exposures over time. The analysis however seeks to be a point in time assessment of future exposures under current conditions.</w:t>
      </w:r>
    </w:p>
    <w:p w14:paraId="25F85CE4" w14:textId="77777777" w:rsidR="00DF3FFB" w:rsidRPr="00270F1D" w:rsidRDefault="00DF3FFB" w:rsidP="009166FA">
      <w:pPr>
        <w:pStyle w:val="ListParagraph"/>
        <w:numPr>
          <w:ilvl w:val="0"/>
          <w:numId w:val="19"/>
        </w:numPr>
        <w:rPr>
          <w:rFonts w:cs="Clear Sans"/>
        </w:rPr>
      </w:pPr>
      <w:r w:rsidRPr="00270F1D">
        <w:rPr>
          <w:rFonts w:cs="Clear Sans"/>
        </w:rPr>
        <w:t>The model takes a diversified ‘market portfolio’ as a basis, focusing on key technologies reflected in the IEA roadmaps. By extension, thematic portfolios invested in breakthrough technologies and/or SRI portfolios with a range of environmental, social, and governmental considerations may not value these elements.</w:t>
      </w:r>
    </w:p>
    <w:p w14:paraId="44104E6D" w14:textId="77777777" w:rsidR="0001695F" w:rsidRPr="00270F1D" w:rsidRDefault="0001695F">
      <w:pPr>
        <w:rPr>
          <w:rFonts w:ascii="Clear Sans" w:hAnsi="Clear Sans" w:cs="Clear Sans"/>
        </w:rPr>
      </w:pPr>
    </w:p>
    <w:sectPr w:rsidR="0001695F" w:rsidRPr="00270F1D" w:rsidSect="00E505E9">
      <w:footerReference w:type="even" r:id="rId14"/>
      <w:footerReference w:type="default" r:id="rId15"/>
      <w:pgSz w:w="11906" w:h="16838"/>
      <w:pgMar w:top="851" w:right="1134" w:bottom="851"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C72CB" w14:textId="77777777" w:rsidR="00040878" w:rsidRDefault="00040878" w:rsidP="0026029A">
      <w:pPr>
        <w:spacing w:after="0"/>
      </w:pPr>
      <w:r>
        <w:separator/>
      </w:r>
    </w:p>
  </w:endnote>
  <w:endnote w:type="continuationSeparator" w:id="0">
    <w:p w14:paraId="31643323" w14:textId="77777777" w:rsidR="00040878" w:rsidRDefault="00040878" w:rsidP="00260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lear Sans">
    <w:altName w:val="Calibri"/>
    <w:charset w:val="00"/>
    <w:family w:val="swiss"/>
    <w:pitch w:val="variable"/>
    <w:sig w:usb0="A00002EF" w:usb1="500078FB" w:usb2="00000008" w:usb3="00000000" w:csb0="0000019F" w:csb1="00000000"/>
  </w:font>
  <w:font w:name="Calibri Light">
    <w:panose1 w:val="020F0302020204030204"/>
    <w:charset w:val="00"/>
    <w:family w:val="swiss"/>
    <w:pitch w:val="variable"/>
    <w:sig w:usb0="E0002AFF" w:usb1="C000247B" w:usb2="00000009" w:usb3="00000000" w:csb0="000001FF" w:csb1="00000000"/>
  </w:font>
  <w:font w:name="Clear Sans Light">
    <w:altName w:val="Calibri"/>
    <w:charset w:val="00"/>
    <w:family w:val="swiss"/>
    <w:pitch w:val="variable"/>
    <w:sig w:usb0="A00002EF" w:usb1="500078FB" w:usb2="0000000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6536440"/>
      <w:docPartObj>
        <w:docPartGallery w:val="Page Numbers (Bottom of Page)"/>
        <w:docPartUnique/>
      </w:docPartObj>
    </w:sdtPr>
    <w:sdtEndPr>
      <w:rPr>
        <w:rStyle w:val="PageNumber"/>
      </w:rPr>
    </w:sdtEndPr>
    <w:sdtContent>
      <w:p w14:paraId="43E05E55" w14:textId="5133BCEE" w:rsidR="00E505E9" w:rsidRDefault="00E505E9" w:rsidP="00E44D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9ECDA" w14:textId="77777777" w:rsidR="00E505E9" w:rsidRDefault="00E505E9" w:rsidP="00E505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8154684"/>
      <w:docPartObj>
        <w:docPartGallery w:val="Page Numbers (Bottom of Page)"/>
        <w:docPartUnique/>
      </w:docPartObj>
    </w:sdtPr>
    <w:sdtEndPr>
      <w:rPr>
        <w:rStyle w:val="PageNumber"/>
      </w:rPr>
    </w:sdtEndPr>
    <w:sdtContent>
      <w:p w14:paraId="48C6D75A" w14:textId="4E602469" w:rsidR="00E505E9" w:rsidRDefault="00E505E9" w:rsidP="00E44D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54F1A4" w14:textId="77777777" w:rsidR="00E505E9" w:rsidRDefault="00E505E9" w:rsidP="00E505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4DAE" w14:textId="77777777" w:rsidR="00040878" w:rsidRDefault="00040878" w:rsidP="0026029A">
      <w:pPr>
        <w:spacing w:after="0"/>
      </w:pPr>
      <w:r>
        <w:separator/>
      </w:r>
    </w:p>
  </w:footnote>
  <w:footnote w:type="continuationSeparator" w:id="0">
    <w:p w14:paraId="64FF5A9D" w14:textId="77777777" w:rsidR="00040878" w:rsidRDefault="00040878" w:rsidP="002602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56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FCF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B441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487B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BE92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2ED7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ECE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E649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2E0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411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D6596"/>
    <w:multiLevelType w:val="hybridMultilevel"/>
    <w:tmpl w:val="F4761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8D04650"/>
    <w:multiLevelType w:val="hybridMultilevel"/>
    <w:tmpl w:val="404E6F8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26A140F"/>
    <w:multiLevelType w:val="hybridMultilevel"/>
    <w:tmpl w:val="ABC2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6306D48"/>
    <w:multiLevelType w:val="hybridMultilevel"/>
    <w:tmpl w:val="864CB69E"/>
    <w:lvl w:ilvl="0" w:tplc="31144CE0">
      <w:start w:val="3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9977618"/>
    <w:multiLevelType w:val="multilevel"/>
    <w:tmpl w:val="855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91117"/>
    <w:multiLevelType w:val="hybridMultilevel"/>
    <w:tmpl w:val="9120100C"/>
    <w:lvl w:ilvl="0" w:tplc="31144CE0">
      <w:start w:val="3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2096532"/>
    <w:multiLevelType w:val="multilevel"/>
    <w:tmpl w:val="0F6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99D"/>
    <w:multiLevelType w:val="hybridMultilevel"/>
    <w:tmpl w:val="AE849476"/>
    <w:lvl w:ilvl="0" w:tplc="31144CE0">
      <w:start w:val="3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4E865BE"/>
    <w:multiLevelType w:val="hybridMultilevel"/>
    <w:tmpl w:val="13A27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C346C4"/>
    <w:multiLevelType w:val="hybridMultilevel"/>
    <w:tmpl w:val="29761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7475701"/>
    <w:multiLevelType w:val="multilevel"/>
    <w:tmpl w:val="16B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041F1"/>
    <w:multiLevelType w:val="hybridMultilevel"/>
    <w:tmpl w:val="DCE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F4B98"/>
    <w:multiLevelType w:val="hybridMultilevel"/>
    <w:tmpl w:val="70889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744B2"/>
    <w:multiLevelType w:val="hybridMultilevel"/>
    <w:tmpl w:val="4110683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AD21567"/>
    <w:multiLevelType w:val="hybridMultilevel"/>
    <w:tmpl w:val="AF2A5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0A51F46"/>
    <w:multiLevelType w:val="hybridMultilevel"/>
    <w:tmpl w:val="E7EAB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6D43C1B"/>
    <w:multiLevelType w:val="hybridMultilevel"/>
    <w:tmpl w:val="A7E6B206"/>
    <w:lvl w:ilvl="0" w:tplc="3E0CB656">
      <w:start w:val="1"/>
      <w:numFmt w:val="bullet"/>
      <w:lvlText w:val="o"/>
      <w:lvlJc w:val="left"/>
      <w:pPr>
        <w:ind w:left="1080" w:hanging="360"/>
      </w:pPr>
      <w:rPr>
        <w:rFonts w:ascii="Courier New" w:hAnsi="Courier New" w:cs="Courier New" w:hint="default"/>
        <w:lang w:val="en-U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7897B47"/>
    <w:multiLevelType w:val="hybridMultilevel"/>
    <w:tmpl w:val="3482D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D792859"/>
    <w:multiLevelType w:val="hybridMultilevel"/>
    <w:tmpl w:val="56E02CAE"/>
    <w:lvl w:ilvl="0" w:tplc="31144CE0">
      <w:start w:val="3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75A2DCF"/>
    <w:multiLevelType w:val="hybridMultilevel"/>
    <w:tmpl w:val="488A2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86B1938"/>
    <w:multiLevelType w:val="hybridMultilevel"/>
    <w:tmpl w:val="58760EBC"/>
    <w:lvl w:ilvl="0" w:tplc="31144CE0">
      <w:start w:val="3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A211E7"/>
    <w:multiLevelType w:val="hybridMultilevel"/>
    <w:tmpl w:val="5F9C6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214C18"/>
    <w:multiLevelType w:val="hybridMultilevel"/>
    <w:tmpl w:val="FCE21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6"/>
  </w:num>
  <w:num w:numId="4">
    <w:abstractNumId w:val="32"/>
  </w:num>
  <w:num w:numId="5">
    <w:abstractNumId w:val="15"/>
  </w:num>
  <w:num w:numId="6">
    <w:abstractNumId w:val="13"/>
  </w:num>
  <w:num w:numId="7">
    <w:abstractNumId w:val="28"/>
  </w:num>
  <w:num w:numId="8">
    <w:abstractNumId w:val="30"/>
  </w:num>
  <w:num w:numId="9">
    <w:abstractNumId w:val="17"/>
  </w:num>
  <w:num w:numId="10">
    <w:abstractNumId w:val="24"/>
  </w:num>
  <w:num w:numId="11">
    <w:abstractNumId w:val="27"/>
  </w:num>
  <w:num w:numId="12">
    <w:abstractNumId w:val="11"/>
  </w:num>
  <w:num w:numId="13">
    <w:abstractNumId w:val="26"/>
  </w:num>
  <w:num w:numId="14">
    <w:abstractNumId w:val="23"/>
  </w:num>
  <w:num w:numId="15">
    <w:abstractNumId w:val="19"/>
  </w:num>
  <w:num w:numId="16">
    <w:abstractNumId w:val="18"/>
  </w:num>
  <w:num w:numId="17">
    <w:abstractNumId w:val="29"/>
  </w:num>
  <w:num w:numId="18">
    <w:abstractNumId w:val="25"/>
  </w:num>
  <w:num w:numId="19">
    <w:abstractNumId w:val="10"/>
  </w:num>
  <w:num w:numId="20">
    <w:abstractNumId w:val="0"/>
  </w:num>
  <w:num w:numId="21">
    <w:abstractNumId w:val="1"/>
  </w:num>
  <w:num w:numId="22">
    <w:abstractNumId w:val="2"/>
  </w:num>
  <w:num w:numId="23">
    <w:abstractNumId w:val="3"/>
  </w:num>
  <w:num w:numId="24">
    <w:abstractNumId w:val="8"/>
  </w:num>
  <w:num w:numId="25">
    <w:abstractNumId w:val="4"/>
  </w:num>
  <w:num w:numId="26">
    <w:abstractNumId w:val="5"/>
  </w:num>
  <w:num w:numId="27">
    <w:abstractNumId w:val="6"/>
  </w:num>
  <w:num w:numId="28">
    <w:abstractNumId w:val="7"/>
  </w:num>
  <w:num w:numId="29">
    <w:abstractNumId w:val="9"/>
  </w:num>
  <w:num w:numId="30">
    <w:abstractNumId w:val="31"/>
  </w:num>
  <w:num w:numId="31">
    <w:abstractNumId w:val="12"/>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1MjS0sDQ0szA1MjFV0lEKTi0uzszPAykwrgUAPQIHACwAAAA="/>
  </w:docVars>
  <w:rsids>
    <w:rsidRoot w:val="00DF3FFB"/>
    <w:rsid w:val="0001695F"/>
    <w:rsid w:val="000253D3"/>
    <w:rsid w:val="00040878"/>
    <w:rsid w:val="00051BE0"/>
    <w:rsid w:val="00065D00"/>
    <w:rsid w:val="000B4967"/>
    <w:rsid w:val="000C3810"/>
    <w:rsid w:val="000C77F4"/>
    <w:rsid w:val="000E7CC9"/>
    <w:rsid w:val="001323BA"/>
    <w:rsid w:val="00140D03"/>
    <w:rsid w:val="00170848"/>
    <w:rsid w:val="00191472"/>
    <w:rsid w:val="00196F73"/>
    <w:rsid w:val="00197940"/>
    <w:rsid w:val="001E7806"/>
    <w:rsid w:val="001F736B"/>
    <w:rsid w:val="0025070E"/>
    <w:rsid w:val="0026029A"/>
    <w:rsid w:val="00270F1D"/>
    <w:rsid w:val="002B205C"/>
    <w:rsid w:val="00317C31"/>
    <w:rsid w:val="003A6CAB"/>
    <w:rsid w:val="003E3102"/>
    <w:rsid w:val="00413771"/>
    <w:rsid w:val="0041653D"/>
    <w:rsid w:val="0043132B"/>
    <w:rsid w:val="004479A4"/>
    <w:rsid w:val="0046112C"/>
    <w:rsid w:val="00462352"/>
    <w:rsid w:val="004708BE"/>
    <w:rsid w:val="004759C2"/>
    <w:rsid w:val="004A4113"/>
    <w:rsid w:val="004F1F7D"/>
    <w:rsid w:val="00520C14"/>
    <w:rsid w:val="0053583A"/>
    <w:rsid w:val="005D0B6B"/>
    <w:rsid w:val="00616A8E"/>
    <w:rsid w:val="00634435"/>
    <w:rsid w:val="00693060"/>
    <w:rsid w:val="006A62F6"/>
    <w:rsid w:val="00714CC1"/>
    <w:rsid w:val="00741F4F"/>
    <w:rsid w:val="0075525C"/>
    <w:rsid w:val="00756FD0"/>
    <w:rsid w:val="007670A6"/>
    <w:rsid w:val="007913BF"/>
    <w:rsid w:val="007B18D4"/>
    <w:rsid w:val="00813183"/>
    <w:rsid w:val="00830959"/>
    <w:rsid w:val="008340D6"/>
    <w:rsid w:val="008E7EAD"/>
    <w:rsid w:val="009166FA"/>
    <w:rsid w:val="00916962"/>
    <w:rsid w:val="009600F3"/>
    <w:rsid w:val="009A1AED"/>
    <w:rsid w:val="009C6F9D"/>
    <w:rsid w:val="009D4012"/>
    <w:rsid w:val="009D53D5"/>
    <w:rsid w:val="009F7751"/>
    <w:rsid w:val="00A16D42"/>
    <w:rsid w:val="00A41AAF"/>
    <w:rsid w:val="00A73741"/>
    <w:rsid w:val="00AE0FD9"/>
    <w:rsid w:val="00B07D46"/>
    <w:rsid w:val="00B13E1F"/>
    <w:rsid w:val="00B205F4"/>
    <w:rsid w:val="00B22022"/>
    <w:rsid w:val="00B406DF"/>
    <w:rsid w:val="00B51D65"/>
    <w:rsid w:val="00B9591C"/>
    <w:rsid w:val="00BA7AAD"/>
    <w:rsid w:val="00BB56DA"/>
    <w:rsid w:val="00BC6040"/>
    <w:rsid w:val="00BD0D8C"/>
    <w:rsid w:val="00BF4104"/>
    <w:rsid w:val="00C315AF"/>
    <w:rsid w:val="00C60C65"/>
    <w:rsid w:val="00CA79BA"/>
    <w:rsid w:val="00CD277A"/>
    <w:rsid w:val="00CE1262"/>
    <w:rsid w:val="00D02D46"/>
    <w:rsid w:val="00D0617E"/>
    <w:rsid w:val="00D15E4B"/>
    <w:rsid w:val="00D176D6"/>
    <w:rsid w:val="00D2017F"/>
    <w:rsid w:val="00D83627"/>
    <w:rsid w:val="00DA6A2E"/>
    <w:rsid w:val="00DE7D85"/>
    <w:rsid w:val="00DF3FFB"/>
    <w:rsid w:val="00E423B3"/>
    <w:rsid w:val="00E43FA3"/>
    <w:rsid w:val="00E47277"/>
    <w:rsid w:val="00E505E9"/>
    <w:rsid w:val="00E6735C"/>
    <w:rsid w:val="00E70B13"/>
    <w:rsid w:val="00E75C4C"/>
    <w:rsid w:val="00F20F27"/>
    <w:rsid w:val="00F43524"/>
    <w:rsid w:val="00F55529"/>
    <w:rsid w:val="00F65B00"/>
    <w:rsid w:val="00FA682B"/>
    <w:rsid w:val="00FB18E5"/>
    <w:rsid w:val="00FB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18DB"/>
  <w15:chartTrackingRefBased/>
  <w15:docId w15:val="{16B5A79E-8644-4C75-88E8-5C8F867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5E9"/>
    <w:pPr>
      <w:spacing w:line="240" w:lineRule="auto"/>
      <w:jc w:val="both"/>
    </w:pPr>
    <w:rPr>
      <w:color w:val="2E2F31"/>
      <w:sz w:val="21"/>
    </w:rPr>
  </w:style>
  <w:style w:type="paragraph" w:styleId="Heading1">
    <w:name w:val="heading 1"/>
    <w:basedOn w:val="Normal"/>
    <w:next w:val="Normal"/>
    <w:link w:val="Heading1Char"/>
    <w:uiPriority w:val="9"/>
    <w:qFormat/>
    <w:rsid w:val="0026029A"/>
    <w:pPr>
      <w:keepNext/>
      <w:keepLines/>
      <w:spacing w:after="240"/>
      <w:outlineLvl w:val="0"/>
    </w:pPr>
    <w:rPr>
      <w:rFonts w:ascii="Clear Sans" w:eastAsia="Times New Roman" w:hAnsi="Clear Sans" w:cstheme="majorBidi"/>
      <w:b/>
      <w:sz w:val="32"/>
      <w:szCs w:val="32"/>
    </w:rPr>
  </w:style>
  <w:style w:type="paragraph" w:styleId="Heading2">
    <w:name w:val="heading 2"/>
    <w:basedOn w:val="Normal"/>
    <w:link w:val="Heading2Char"/>
    <w:uiPriority w:val="9"/>
    <w:qFormat/>
    <w:rsid w:val="00DF3F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05E9"/>
    <w:pPr>
      <w:keepNext/>
      <w:keepLines/>
      <w:spacing w:before="360" w:after="120"/>
      <w:outlineLvl w:val="2"/>
    </w:pPr>
    <w:rPr>
      <w:rFonts w:ascii="Clear Sans" w:eastAsia="Times New Roman" w:hAnsi="Clear Sans" w:cstheme="majorBidi"/>
      <w:b/>
      <w:sz w:val="24"/>
      <w:szCs w:val="24"/>
    </w:rPr>
  </w:style>
  <w:style w:type="paragraph" w:styleId="Heading4">
    <w:name w:val="heading 4"/>
    <w:basedOn w:val="Normal"/>
    <w:next w:val="Normal"/>
    <w:link w:val="Heading4Char"/>
    <w:uiPriority w:val="9"/>
    <w:unhideWhenUsed/>
    <w:qFormat/>
    <w:rsid w:val="00196F73"/>
    <w:pPr>
      <w:keepNext/>
      <w:keepLines/>
      <w:spacing w:before="240" w:after="0"/>
      <w:outlineLvl w:val="3"/>
    </w:pPr>
    <w:rPr>
      <w:rFonts w:asciiTheme="majorHAnsi" w:eastAsia="Times New Roman" w:hAnsiTheme="majorHAnsi" w:cstheme="majorBidi"/>
      <w:b/>
      <w:i/>
      <w:iCs/>
    </w:rPr>
  </w:style>
  <w:style w:type="paragraph" w:styleId="Heading5">
    <w:name w:val="heading 5"/>
    <w:basedOn w:val="Normal"/>
    <w:link w:val="Heading5Char"/>
    <w:uiPriority w:val="9"/>
    <w:qFormat/>
    <w:rsid w:val="00DF3FF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FF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F3FFB"/>
    <w:rPr>
      <w:rFonts w:ascii="Times New Roman" w:eastAsia="Times New Roman" w:hAnsi="Times New Roman" w:cs="Times New Roman"/>
      <w:b/>
      <w:bCs/>
      <w:sz w:val="20"/>
      <w:szCs w:val="20"/>
    </w:rPr>
  </w:style>
  <w:style w:type="paragraph" w:customStyle="1" w:styleId="text-justify">
    <w:name w:val="text-justify"/>
    <w:basedOn w:val="Normal"/>
    <w:rsid w:val="00DF3FF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3FFB"/>
    <w:rPr>
      <w:color w:val="0000FF"/>
      <w:u w:val="single"/>
    </w:rPr>
  </w:style>
  <w:style w:type="paragraph" w:styleId="NormalWeb">
    <w:name w:val="Normal (Web)"/>
    <w:basedOn w:val="Normal"/>
    <w:uiPriority w:val="99"/>
    <w:semiHidden/>
    <w:unhideWhenUsed/>
    <w:rsid w:val="00DF3FF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20C14"/>
    <w:pPr>
      <w:spacing w:before="120" w:after="120"/>
      <w:ind w:left="720"/>
    </w:pPr>
    <w:rPr>
      <w:rFonts w:ascii="Clear Sans" w:hAnsi="Clear Sans"/>
    </w:rPr>
  </w:style>
  <w:style w:type="table" w:styleId="TableGrid">
    <w:name w:val="Table Grid"/>
    <w:basedOn w:val="TableNormal"/>
    <w:uiPriority w:val="39"/>
    <w:rsid w:val="00DF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37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E505E9"/>
    <w:rPr>
      <w:rFonts w:ascii="Clear Sans" w:eastAsia="Times New Roman" w:hAnsi="Clear Sans" w:cstheme="majorBidi"/>
      <w:b/>
      <w:color w:val="2E2F31"/>
      <w:sz w:val="24"/>
      <w:szCs w:val="24"/>
    </w:rPr>
  </w:style>
  <w:style w:type="character" w:customStyle="1" w:styleId="Heading1Char">
    <w:name w:val="Heading 1 Char"/>
    <w:basedOn w:val="DefaultParagraphFont"/>
    <w:link w:val="Heading1"/>
    <w:uiPriority w:val="9"/>
    <w:rsid w:val="0026029A"/>
    <w:rPr>
      <w:rFonts w:ascii="Clear Sans" w:eastAsia="Times New Roman" w:hAnsi="Clear Sans" w:cstheme="majorBidi"/>
      <w:b/>
      <w:color w:val="2E2F31"/>
      <w:sz w:val="32"/>
      <w:szCs w:val="32"/>
    </w:rPr>
  </w:style>
  <w:style w:type="character" w:customStyle="1" w:styleId="Heading4Char">
    <w:name w:val="Heading 4 Char"/>
    <w:basedOn w:val="DefaultParagraphFont"/>
    <w:link w:val="Heading4"/>
    <w:uiPriority w:val="9"/>
    <w:rsid w:val="00196F73"/>
    <w:rPr>
      <w:rFonts w:asciiTheme="majorHAnsi" w:eastAsia="Times New Roman" w:hAnsiTheme="majorHAnsi" w:cstheme="majorBidi"/>
      <w:b/>
      <w:i/>
      <w:iCs/>
      <w:color w:val="2E2F31"/>
    </w:rPr>
  </w:style>
  <w:style w:type="table" w:styleId="GridTable4-Accent5">
    <w:name w:val="Grid Table 4 Accent 5"/>
    <w:basedOn w:val="TableNormal"/>
    <w:uiPriority w:val="49"/>
    <w:rsid w:val="002B20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55529"/>
    <w:rPr>
      <w:color w:val="605E5C"/>
      <w:shd w:val="clear" w:color="auto" w:fill="E1DFDD"/>
    </w:rPr>
  </w:style>
  <w:style w:type="paragraph" w:styleId="Caption">
    <w:name w:val="caption"/>
    <w:basedOn w:val="Normal"/>
    <w:next w:val="Normal"/>
    <w:uiPriority w:val="35"/>
    <w:unhideWhenUsed/>
    <w:qFormat/>
    <w:rsid w:val="00756FD0"/>
    <w:pPr>
      <w:spacing w:before="360" w:after="200"/>
    </w:pPr>
    <w:rPr>
      <w:rFonts w:ascii="Clear Sans Light" w:hAnsi="Clear Sans Light"/>
      <w:i/>
      <w:iCs/>
      <w:color w:val="5E5E5E"/>
      <w:sz w:val="18"/>
      <w:szCs w:val="18"/>
    </w:rPr>
  </w:style>
  <w:style w:type="table" w:styleId="GridTable4">
    <w:name w:val="Grid Table 4"/>
    <w:basedOn w:val="TableNormal"/>
    <w:uiPriority w:val="49"/>
    <w:rsid w:val="000E7C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0E7CC9"/>
    <w:pPr>
      <w:spacing w:after="120"/>
      <w:jc w:val="left"/>
    </w:pPr>
    <w:rPr>
      <w:rFonts w:ascii="Clear Sans Light" w:hAnsi="Clear Sans Light"/>
      <w:sz w:val="18"/>
    </w:rPr>
  </w:style>
  <w:style w:type="character" w:customStyle="1" w:styleId="BodyTextChar">
    <w:name w:val="Body Text Char"/>
    <w:basedOn w:val="DefaultParagraphFont"/>
    <w:link w:val="BodyText"/>
    <w:uiPriority w:val="99"/>
    <w:rsid w:val="000E7CC9"/>
    <w:rPr>
      <w:rFonts w:ascii="Clear Sans Light" w:hAnsi="Clear Sans Light"/>
      <w:color w:val="2E2F31"/>
      <w:sz w:val="18"/>
    </w:rPr>
  </w:style>
  <w:style w:type="table" w:styleId="PlainTable2">
    <w:name w:val="Plain Table 2"/>
    <w:basedOn w:val="TableNormal"/>
    <w:uiPriority w:val="42"/>
    <w:rsid w:val="00E75C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1323BA"/>
    <w:rPr>
      <w:b/>
      <w:bCs/>
    </w:rPr>
  </w:style>
  <w:style w:type="paragraph" w:styleId="Header">
    <w:name w:val="header"/>
    <w:basedOn w:val="Normal"/>
    <w:link w:val="HeaderChar"/>
    <w:uiPriority w:val="99"/>
    <w:unhideWhenUsed/>
    <w:rsid w:val="0026029A"/>
    <w:pPr>
      <w:tabs>
        <w:tab w:val="center" w:pos="4513"/>
        <w:tab w:val="right" w:pos="9026"/>
      </w:tabs>
      <w:spacing w:after="0"/>
    </w:pPr>
  </w:style>
  <w:style w:type="character" w:customStyle="1" w:styleId="HeaderChar">
    <w:name w:val="Header Char"/>
    <w:basedOn w:val="DefaultParagraphFont"/>
    <w:link w:val="Header"/>
    <w:uiPriority w:val="99"/>
    <w:rsid w:val="0026029A"/>
    <w:rPr>
      <w:color w:val="2E2F31"/>
    </w:rPr>
  </w:style>
  <w:style w:type="paragraph" w:styleId="Footer">
    <w:name w:val="footer"/>
    <w:basedOn w:val="Normal"/>
    <w:link w:val="FooterChar"/>
    <w:uiPriority w:val="99"/>
    <w:unhideWhenUsed/>
    <w:rsid w:val="00741F4F"/>
    <w:pPr>
      <w:tabs>
        <w:tab w:val="center" w:pos="4513"/>
        <w:tab w:val="right" w:pos="9026"/>
      </w:tabs>
      <w:spacing w:after="0"/>
    </w:pPr>
    <w:rPr>
      <w:color w:val="5E5E5E"/>
    </w:rPr>
  </w:style>
  <w:style w:type="character" w:customStyle="1" w:styleId="FooterChar">
    <w:name w:val="Footer Char"/>
    <w:basedOn w:val="DefaultParagraphFont"/>
    <w:link w:val="Footer"/>
    <w:uiPriority w:val="99"/>
    <w:rsid w:val="00741F4F"/>
    <w:rPr>
      <w:color w:val="5E5E5E"/>
      <w:sz w:val="21"/>
    </w:rPr>
  </w:style>
  <w:style w:type="character" w:styleId="PageNumber">
    <w:name w:val="page number"/>
    <w:basedOn w:val="DefaultParagraphFont"/>
    <w:uiPriority w:val="99"/>
    <w:semiHidden/>
    <w:unhideWhenUsed/>
    <w:rsid w:val="00E505E9"/>
  </w:style>
  <w:style w:type="paragraph" w:styleId="BalloonText">
    <w:name w:val="Balloon Text"/>
    <w:basedOn w:val="Normal"/>
    <w:link w:val="BalloonTextChar"/>
    <w:uiPriority w:val="99"/>
    <w:semiHidden/>
    <w:unhideWhenUsed/>
    <w:rsid w:val="000C38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810"/>
    <w:rPr>
      <w:rFonts w:ascii="Segoe UI" w:hAnsi="Segoe UI" w:cs="Segoe UI"/>
      <w:color w:val="2E2F3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631">
      <w:bodyDiv w:val="1"/>
      <w:marLeft w:val="0"/>
      <w:marRight w:val="0"/>
      <w:marTop w:val="0"/>
      <w:marBottom w:val="0"/>
      <w:divBdr>
        <w:top w:val="none" w:sz="0" w:space="0" w:color="auto"/>
        <w:left w:val="none" w:sz="0" w:space="0" w:color="auto"/>
        <w:bottom w:val="none" w:sz="0" w:space="0" w:color="auto"/>
        <w:right w:val="none" w:sz="0" w:space="0" w:color="auto"/>
      </w:divBdr>
    </w:div>
    <w:div w:id="1941140855">
      <w:bodyDiv w:val="1"/>
      <w:marLeft w:val="0"/>
      <w:marRight w:val="0"/>
      <w:marTop w:val="0"/>
      <w:marBottom w:val="0"/>
      <w:divBdr>
        <w:top w:val="none" w:sz="0" w:space="0" w:color="auto"/>
        <w:left w:val="none" w:sz="0" w:space="0" w:color="auto"/>
        <w:bottom w:val="none" w:sz="0" w:space="0" w:color="auto"/>
        <w:right w:val="none" w:sz="0" w:space="0" w:color="auto"/>
      </w:divBdr>
    </w:div>
    <w:div w:id="1943805809">
      <w:bodyDiv w:val="1"/>
      <w:marLeft w:val="0"/>
      <w:marRight w:val="0"/>
      <w:marTop w:val="0"/>
      <w:marBottom w:val="0"/>
      <w:divBdr>
        <w:top w:val="none" w:sz="0" w:space="0" w:color="auto"/>
        <w:left w:val="none" w:sz="0" w:space="0" w:color="auto"/>
        <w:bottom w:val="none" w:sz="0" w:space="0" w:color="auto"/>
        <w:right w:val="none" w:sz="0" w:space="0" w:color="auto"/>
      </w:divBdr>
      <w:divsChild>
        <w:div w:id="1026829295">
          <w:marLeft w:val="0"/>
          <w:marRight w:val="0"/>
          <w:marTop w:val="0"/>
          <w:marBottom w:val="0"/>
          <w:divBdr>
            <w:top w:val="none" w:sz="0" w:space="0" w:color="auto"/>
            <w:left w:val="none" w:sz="0" w:space="0" w:color="auto"/>
            <w:bottom w:val="none" w:sz="0" w:space="0" w:color="auto"/>
            <w:right w:val="none" w:sz="0" w:space="0" w:color="auto"/>
          </w:divBdr>
          <w:divsChild>
            <w:div w:id="1514032505">
              <w:marLeft w:val="0"/>
              <w:marRight w:val="0"/>
              <w:marTop w:val="0"/>
              <w:marBottom w:val="0"/>
              <w:divBdr>
                <w:top w:val="none" w:sz="0" w:space="0" w:color="auto"/>
                <w:left w:val="none" w:sz="0" w:space="0" w:color="auto"/>
                <w:bottom w:val="none" w:sz="0" w:space="0" w:color="auto"/>
                <w:right w:val="none" w:sz="0" w:space="0" w:color="auto"/>
              </w:divBdr>
              <w:divsChild>
                <w:div w:id="1472208427">
                  <w:marLeft w:val="0"/>
                  <w:marRight w:val="0"/>
                  <w:marTop w:val="0"/>
                  <w:marBottom w:val="0"/>
                  <w:divBdr>
                    <w:top w:val="none" w:sz="0" w:space="0" w:color="auto"/>
                    <w:left w:val="none" w:sz="0" w:space="0" w:color="auto"/>
                    <w:bottom w:val="none" w:sz="0" w:space="0" w:color="auto"/>
                    <w:right w:val="none" w:sz="0" w:space="0" w:color="auto"/>
                  </w:divBdr>
                  <w:divsChild>
                    <w:div w:id="1403410824">
                      <w:marLeft w:val="0"/>
                      <w:marRight w:val="0"/>
                      <w:marTop w:val="0"/>
                      <w:marBottom w:val="0"/>
                      <w:divBdr>
                        <w:top w:val="none" w:sz="0" w:space="0" w:color="auto"/>
                        <w:left w:val="none" w:sz="0" w:space="0" w:color="auto"/>
                        <w:bottom w:val="none" w:sz="0" w:space="0" w:color="auto"/>
                        <w:right w:val="none" w:sz="0" w:space="0" w:color="auto"/>
                      </w:divBdr>
                      <w:divsChild>
                        <w:div w:id="996416503">
                          <w:marLeft w:val="0"/>
                          <w:marRight w:val="0"/>
                          <w:marTop w:val="0"/>
                          <w:marBottom w:val="0"/>
                          <w:divBdr>
                            <w:top w:val="none" w:sz="0" w:space="0" w:color="auto"/>
                            <w:left w:val="none" w:sz="0" w:space="0" w:color="auto"/>
                            <w:bottom w:val="none" w:sz="0" w:space="0" w:color="auto"/>
                            <w:right w:val="none" w:sz="0" w:space="0" w:color="auto"/>
                          </w:divBdr>
                          <w:divsChild>
                            <w:div w:id="1489130727">
                              <w:marLeft w:val="0"/>
                              <w:marRight w:val="0"/>
                              <w:marTop w:val="0"/>
                              <w:marBottom w:val="0"/>
                              <w:divBdr>
                                <w:top w:val="none" w:sz="0" w:space="0" w:color="auto"/>
                                <w:left w:val="none" w:sz="0" w:space="0" w:color="auto"/>
                                <w:bottom w:val="none" w:sz="0" w:space="0" w:color="auto"/>
                                <w:right w:val="none" w:sz="0" w:space="0" w:color="auto"/>
                              </w:divBdr>
                              <w:divsChild>
                                <w:div w:id="442044182">
                                  <w:marLeft w:val="0"/>
                                  <w:marRight w:val="0"/>
                                  <w:marTop w:val="0"/>
                                  <w:marBottom w:val="0"/>
                                  <w:divBdr>
                                    <w:top w:val="none" w:sz="0" w:space="0" w:color="auto"/>
                                    <w:left w:val="none" w:sz="0" w:space="0" w:color="auto"/>
                                    <w:bottom w:val="none" w:sz="0" w:space="0" w:color="auto"/>
                                    <w:right w:val="none" w:sz="0" w:space="0" w:color="auto"/>
                                  </w:divBdr>
                                  <w:divsChild>
                                    <w:div w:id="1358655593">
                                      <w:marLeft w:val="0"/>
                                      <w:marRight w:val="0"/>
                                      <w:marTop w:val="0"/>
                                      <w:marBottom w:val="0"/>
                                      <w:divBdr>
                                        <w:top w:val="none" w:sz="0" w:space="0" w:color="auto"/>
                                        <w:left w:val="none" w:sz="0" w:space="0" w:color="auto"/>
                                        <w:bottom w:val="none" w:sz="0" w:space="0" w:color="auto"/>
                                        <w:right w:val="none" w:sz="0" w:space="0" w:color="auto"/>
                                      </w:divBdr>
                                      <w:divsChild>
                                        <w:div w:id="1355307005">
                                          <w:marLeft w:val="0"/>
                                          <w:marRight w:val="0"/>
                                          <w:marTop w:val="0"/>
                                          <w:marBottom w:val="0"/>
                                          <w:divBdr>
                                            <w:top w:val="none" w:sz="0" w:space="0" w:color="auto"/>
                                            <w:left w:val="none" w:sz="0" w:space="0" w:color="auto"/>
                                            <w:bottom w:val="none" w:sz="0" w:space="0" w:color="auto"/>
                                            <w:right w:val="none" w:sz="0" w:space="0" w:color="auto"/>
                                          </w:divBdr>
                                          <w:divsChild>
                                            <w:div w:id="1113599321">
                                              <w:marLeft w:val="0"/>
                                              <w:marRight w:val="0"/>
                                              <w:marTop w:val="0"/>
                                              <w:marBottom w:val="0"/>
                                              <w:divBdr>
                                                <w:top w:val="none" w:sz="0" w:space="0" w:color="auto"/>
                                                <w:left w:val="none" w:sz="0" w:space="0" w:color="auto"/>
                                                <w:bottom w:val="none" w:sz="0" w:space="0" w:color="auto"/>
                                                <w:right w:val="none" w:sz="0" w:space="0" w:color="auto"/>
                                              </w:divBdr>
                                              <w:divsChild>
                                                <w:div w:id="5106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457">
                                          <w:marLeft w:val="0"/>
                                          <w:marRight w:val="0"/>
                                          <w:marTop w:val="0"/>
                                          <w:marBottom w:val="0"/>
                                          <w:divBdr>
                                            <w:top w:val="none" w:sz="0" w:space="0" w:color="auto"/>
                                            <w:left w:val="none" w:sz="0" w:space="0" w:color="auto"/>
                                            <w:bottom w:val="none" w:sz="0" w:space="0" w:color="auto"/>
                                            <w:right w:val="none" w:sz="0" w:space="0" w:color="auto"/>
                                          </w:divBdr>
                                          <w:divsChild>
                                            <w:div w:id="1392582271">
                                              <w:marLeft w:val="0"/>
                                              <w:marRight w:val="0"/>
                                              <w:marTop w:val="0"/>
                                              <w:marBottom w:val="0"/>
                                              <w:divBdr>
                                                <w:top w:val="none" w:sz="0" w:space="0" w:color="auto"/>
                                                <w:left w:val="none" w:sz="0" w:space="0" w:color="auto"/>
                                                <w:bottom w:val="none" w:sz="0" w:space="0" w:color="auto"/>
                                                <w:right w:val="none" w:sz="0" w:space="0" w:color="auto"/>
                                              </w:divBdr>
                                              <w:divsChild>
                                                <w:div w:id="1059942096">
                                                  <w:marLeft w:val="0"/>
                                                  <w:marRight w:val="0"/>
                                                  <w:marTop w:val="0"/>
                                                  <w:marBottom w:val="0"/>
                                                  <w:divBdr>
                                                    <w:top w:val="none" w:sz="0" w:space="0" w:color="auto"/>
                                                    <w:left w:val="none" w:sz="0" w:space="0" w:color="auto"/>
                                                    <w:bottom w:val="none" w:sz="0" w:space="0" w:color="auto"/>
                                                    <w:right w:val="none" w:sz="0" w:space="0" w:color="auto"/>
                                                  </w:divBdr>
                                                  <w:divsChild>
                                                    <w:div w:id="632978476">
                                                      <w:marLeft w:val="0"/>
                                                      <w:marRight w:val="0"/>
                                                      <w:marTop w:val="0"/>
                                                      <w:marBottom w:val="0"/>
                                                      <w:divBdr>
                                                        <w:top w:val="none" w:sz="0" w:space="0" w:color="auto"/>
                                                        <w:left w:val="none" w:sz="0" w:space="0" w:color="auto"/>
                                                        <w:bottom w:val="none" w:sz="0" w:space="0" w:color="auto"/>
                                                        <w:right w:val="none" w:sz="0" w:space="0" w:color="auto"/>
                                                      </w:divBdr>
                                                      <w:divsChild>
                                                        <w:div w:id="446118430">
                                                          <w:marLeft w:val="0"/>
                                                          <w:marRight w:val="0"/>
                                                          <w:marTop w:val="0"/>
                                                          <w:marBottom w:val="0"/>
                                                          <w:divBdr>
                                                            <w:top w:val="none" w:sz="0" w:space="0" w:color="auto"/>
                                                            <w:left w:val="none" w:sz="0" w:space="0" w:color="auto"/>
                                                            <w:bottom w:val="none" w:sz="0" w:space="0" w:color="auto"/>
                                                            <w:right w:val="none" w:sz="0" w:space="0" w:color="auto"/>
                                                          </w:divBdr>
                                                          <w:divsChild>
                                                            <w:div w:id="829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854250">
                                          <w:marLeft w:val="0"/>
                                          <w:marRight w:val="0"/>
                                          <w:marTop w:val="0"/>
                                          <w:marBottom w:val="0"/>
                                          <w:divBdr>
                                            <w:top w:val="none" w:sz="0" w:space="0" w:color="auto"/>
                                            <w:left w:val="none" w:sz="0" w:space="0" w:color="auto"/>
                                            <w:bottom w:val="none" w:sz="0" w:space="0" w:color="auto"/>
                                            <w:right w:val="none" w:sz="0" w:space="0" w:color="auto"/>
                                          </w:divBdr>
                                          <w:divsChild>
                                            <w:div w:id="66878107">
                                              <w:marLeft w:val="0"/>
                                              <w:marRight w:val="0"/>
                                              <w:marTop w:val="0"/>
                                              <w:marBottom w:val="0"/>
                                              <w:divBdr>
                                                <w:top w:val="none" w:sz="0" w:space="0" w:color="auto"/>
                                                <w:left w:val="none" w:sz="0" w:space="0" w:color="auto"/>
                                                <w:bottom w:val="none" w:sz="0" w:space="0" w:color="auto"/>
                                                <w:right w:val="none" w:sz="0" w:space="0" w:color="auto"/>
                                              </w:divBdr>
                                              <w:divsChild>
                                                <w:div w:id="1329214261">
                                                  <w:marLeft w:val="0"/>
                                                  <w:marRight w:val="0"/>
                                                  <w:marTop w:val="0"/>
                                                  <w:marBottom w:val="0"/>
                                                  <w:divBdr>
                                                    <w:top w:val="none" w:sz="0" w:space="0" w:color="auto"/>
                                                    <w:left w:val="none" w:sz="0" w:space="0" w:color="auto"/>
                                                    <w:bottom w:val="none" w:sz="0" w:space="0" w:color="auto"/>
                                                    <w:right w:val="none" w:sz="0" w:space="0" w:color="auto"/>
                                                  </w:divBdr>
                                                  <w:divsChild>
                                                    <w:div w:id="517277321">
                                                      <w:marLeft w:val="0"/>
                                                      <w:marRight w:val="0"/>
                                                      <w:marTop w:val="0"/>
                                                      <w:marBottom w:val="0"/>
                                                      <w:divBdr>
                                                        <w:top w:val="none" w:sz="0" w:space="0" w:color="auto"/>
                                                        <w:left w:val="none" w:sz="0" w:space="0" w:color="auto"/>
                                                        <w:bottom w:val="none" w:sz="0" w:space="0" w:color="auto"/>
                                                        <w:right w:val="none" w:sz="0" w:space="0" w:color="auto"/>
                                                      </w:divBdr>
                                                      <w:divsChild>
                                                        <w:div w:id="1770007155">
                                                          <w:marLeft w:val="0"/>
                                                          <w:marRight w:val="0"/>
                                                          <w:marTop w:val="0"/>
                                                          <w:marBottom w:val="0"/>
                                                          <w:divBdr>
                                                            <w:top w:val="none" w:sz="0" w:space="0" w:color="auto"/>
                                                            <w:left w:val="none" w:sz="0" w:space="0" w:color="auto"/>
                                                            <w:bottom w:val="none" w:sz="0" w:space="0" w:color="auto"/>
                                                            <w:right w:val="none" w:sz="0" w:space="0" w:color="auto"/>
                                                          </w:divBdr>
                                                          <w:divsChild>
                                                            <w:div w:id="2862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ransitionmonitor.com/wp-content/uploads/2018/07/Coverage_Charts_Dashboar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ci.com/emerging-marke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sci.com/world" TargetMode="External"/><Relationship Id="rId4" Type="http://schemas.openxmlformats.org/officeDocument/2006/relationships/settings" Target="settings.xml"/><Relationship Id="rId9" Type="http://schemas.openxmlformats.org/officeDocument/2006/relationships/hyperlink" Target="http://www.transitionmonitor.com/en/public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3A4F8-86BE-4286-AABC-EA542E89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50</cp:revision>
  <cp:lastPrinted>2018-08-15T19:49:00Z</cp:lastPrinted>
  <dcterms:created xsi:type="dcterms:W3CDTF">2018-08-09T14:22:00Z</dcterms:created>
  <dcterms:modified xsi:type="dcterms:W3CDTF">2018-08-27T11:59:00Z</dcterms:modified>
</cp:coreProperties>
</file>