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77952" w14:textId="154A4CB3" w:rsidR="0066378F" w:rsidRDefault="00E72E97" w:rsidP="00E72E97">
      <w:pPr>
        <w:pStyle w:val="Heading1"/>
        <w:pBdr>
          <w:bottom w:val="single" w:sz="12" w:space="1" w:color="auto"/>
        </w:pBdr>
      </w:pPr>
      <w:r>
        <w:rPr>
          <w:noProof/>
        </w:rPr>
        <w:drawing>
          <wp:anchor distT="0" distB="0" distL="114300" distR="114300" simplePos="0" relativeHeight="251658240" behindDoc="1" locked="0" layoutInCell="1" allowOverlap="1" wp14:anchorId="6F78DA39" wp14:editId="00CB6450">
            <wp:simplePos x="0" y="0"/>
            <wp:positionH relativeFrom="column">
              <wp:posOffset>7037882</wp:posOffset>
            </wp:positionH>
            <wp:positionV relativeFrom="paragraph">
              <wp:posOffset>-223520</wp:posOffset>
            </wp:positionV>
            <wp:extent cx="2222160" cy="727129"/>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ii logo.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2160" cy="727129"/>
                    </a:xfrm>
                    <a:prstGeom prst="rect">
                      <a:avLst/>
                    </a:prstGeom>
                  </pic:spPr>
                </pic:pic>
              </a:graphicData>
            </a:graphic>
            <wp14:sizeRelH relativeFrom="margin">
              <wp14:pctWidth>0</wp14:pctWidth>
            </wp14:sizeRelH>
            <wp14:sizeRelV relativeFrom="margin">
              <wp14:pctHeight>0</wp14:pctHeight>
            </wp14:sizeRelV>
          </wp:anchor>
        </w:drawing>
      </w:r>
      <w:r w:rsidR="007409A7">
        <w:t xml:space="preserve">Understanding the </w:t>
      </w:r>
      <w:r w:rsidR="00FE0187">
        <w:t>Scenario Analysis</w:t>
      </w:r>
      <w:r w:rsidR="007409A7">
        <w:t xml:space="preserve"> Outputs</w:t>
      </w:r>
    </w:p>
    <w:p w14:paraId="1888B68E" w14:textId="4A0D2880" w:rsidR="00CE0EF8" w:rsidRPr="00CE0EF8" w:rsidRDefault="007409A7" w:rsidP="00CE0EF8">
      <w:r>
        <w:t xml:space="preserve">This document describes the </w:t>
      </w:r>
      <w:r w:rsidR="00CD7451">
        <w:t xml:space="preserve">Key </w:t>
      </w:r>
      <w:r>
        <w:t>Concepts</w:t>
      </w:r>
      <w:bookmarkStart w:id="0" w:name="_GoBack"/>
      <w:bookmarkEnd w:id="0"/>
      <w:r>
        <w:t xml:space="preserve"> and Data</w:t>
      </w:r>
      <w:r w:rsidR="00CD7451">
        <w:t xml:space="preserve"> associated with the scenario analysis</w:t>
      </w:r>
      <w:r w:rsidR="00A15497">
        <w:t xml:space="preserve"> outputs</w:t>
      </w:r>
      <w:r w:rsidR="00CD7451">
        <w:t xml:space="preserve">. </w:t>
      </w:r>
    </w:p>
    <w:p w14:paraId="7777E948" w14:textId="2CF16F04" w:rsidR="00C86280" w:rsidRPr="007409A7" w:rsidRDefault="00C86280" w:rsidP="007409A7">
      <w:pPr>
        <w:pStyle w:val="Heading2"/>
      </w:pPr>
      <w:r w:rsidRPr="007409A7">
        <w:t>Key Concepts</w:t>
      </w:r>
    </w:p>
    <w:p w14:paraId="4E3D58A8" w14:textId="77777777" w:rsidR="00C86280" w:rsidRDefault="00C86280" w:rsidP="00C86280">
      <w:pPr>
        <w:pStyle w:val="Heading3"/>
      </w:pPr>
      <w:r>
        <w:t>Sectors and Technologies</w:t>
      </w:r>
    </w:p>
    <w:p w14:paraId="227EF548" w14:textId="478CCAE5" w:rsidR="00C86280" w:rsidRPr="00754823" w:rsidRDefault="00C86280" w:rsidP="0028518D">
      <w:pPr>
        <w:rPr>
          <w:bdr w:val="none" w:sz="0" w:space="0" w:color="auto" w:frame="1"/>
          <w:lang w:val="en-AU"/>
        </w:rPr>
      </w:pPr>
      <w:r>
        <w:rPr>
          <w:bdr w:val="none" w:sz="0" w:space="0" w:color="auto" w:frame="1"/>
          <w:lang w:val="en-AU"/>
        </w:rPr>
        <w:t xml:space="preserve">The asset-level data behind this analysis covers 8 sectors.  </w:t>
      </w:r>
      <w:r w:rsidR="00A15497">
        <w:rPr>
          <w:bdr w:val="none" w:sz="0" w:space="0" w:color="auto" w:frame="1"/>
          <w:lang w:val="en-AU"/>
        </w:rPr>
        <w:t>Scenario analysis of output data is done</w:t>
      </w:r>
      <w:r>
        <w:rPr>
          <w:bdr w:val="none" w:sz="0" w:space="0" w:color="auto" w:frame="1"/>
          <w:lang w:val="en-AU"/>
        </w:rPr>
        <w:t xml:space="preserve"> </w:t>
      </w:r>
      <w:r w:rsidR="00A15497">
        <w:rPr>
          <w:bdr w:val="none" w:sz="0" w:space="0" w:color="auto" w:frame="1"/>
          <w:lang w:val="en-AU"/>
        </w:rPr>
        <w:t xml:space="preserve">for the </w:t>
      </w:r>
      <w:proofErr w:type="spellStart"/>
      <w:r w:rsidRPr="00DB020F">
        <w:rPr>
          <w:bdr w:val="none" w:sz="0" w:space="0" w:color="auto" w:frame="1"/>
          <w:lang w:val="en-AU"/>
        </w:rPr>
        <w:t>Oil&amp;Gas</w:t>
      </w:r>
      <w:proofErr w:type="spellEnd"/>
      <w:r>
        <w:rPr>
          <w:bdr w:val="none" w:sz="0" w:space="0" w:color="auto" w:frame="1"/>
          <w:lang w:val="en-AU"/>
        </w:rPr>
        <w:t xml:space="preserve">, </w:t>
      </w:r>
      <w:r w:rsidRPr="00DB020F">
        <w:rPr>
          <w:bdr w:val="none" w:sz="0" w:space="0" w:color="auto" w:frame="1"/>
          <w:lang w:val="en-AU"/>
        </w:rPr>
        <w:t>Coal</w:t>
      </w:r>
      <w:r>
        <w:rPr>
          <w:bdr w:val="none" w:sz="0" w:space="0" w:color="auto" w:frame="1"/>
          <w:lang w:val="en-AU"/>
        </w:rPr>
        <w:t xml:space="preserve">, </w:t>
      </w:r>
      <w:r w:rsidRPr="00DB020F">
        <w:rPr>
          <w:bdr w:val="none" w:sz="0" w:space="0" w:color="auto" w:frame="1"/>
          <w:lang w:val="en-AU"/>
        </w:rPr>
        <w:t>Power</w:t>
      </w:r>
      <w:r>
        <w:rPr>
          <w:bdr w:val="none" w:sz="0" w:space="0" w:color="auto" w:frame="1"/>
          <w:lang w:val="en-AU"/>
        </w:rPr>
        <w:t xml:space="preserve">, and </w:t>
      </w:r>
      <w:r w:rsidRPr="00DB020F">
        <w:rPr>
          <w:bdr w:val="none" w:sz="0" w:space="0" w:color="auto" w:frame="1"/>
          <w:lang w:val="en-AU"/>
        </w:rPr>
        <w:t>Automotive</w:t>
      </w:r>
      <w:r w:rsidR="00A15497">
        <w:rPr>
          <w:bdr w:val="none" w:sz="0" w:space="0" w:color="auto" w:frame="1"/>
          <w:lang w:val="en-AU"/>
        </w:rPr>
        <w:t xml:space="preserve"> sectors</w:t>
      </w:r>
      <w:r>
        <w:rPr>
          <w:bdr w:val="none" w:sz="0" w:space="0" w:color="auto" w:frame="1"/>
          <w:lang w:val="en-AU"/>
        </w:rPr>
        <w:t xml:space="preserve">.  </w:t>
      </w:r>
      <w:r w:rsidR="00A15497">
        <w:rPr>
          <w:bdr w:val="none" w:sz="0" w:space="0" w:color="auto" w:frame="1"/>
          <w:lang w:val="en-AU"/>
        </w:rPr>
        <w:t>Scenario analysis of e</w:t>
      </w:r>
      <w:r>
        <w:rPr>
          <w:bdr w:val="none" w:sz="0" w:space="0" w:color="auto" w:frame="1"/>
          <w:lang w:val="en-AU"/>
        </w:rPr>
        <w:t xml:space="preserve">missions </w:t>
      </w:r>
      <w:r w:rsidR="00A15497">
        <w:rPr>
          <w:bdr w:val="none" w:sz="0" w:space="0" w:color="auto" w:frame="1"/>
          <w:lang w:val="en-AU"/>
        </w:rPr>
        <w:t>i</w:t>
      </w:r>
      <w:r>
        <w:rPr>
          <w:bdr w:val="none" w:sz="0" w:space="0" w:color="auto" w:frame="1"/>
          <w:lang w:val="en-AU"/>
        </w:rPr>
        <w:t>ntensity</w:t>
      </w:r>
      <w:r w:rsidRPr="0039275B">
        <w:rPr>
          <w:bdr w:val="none" w:sz="0" w:space="0" w:color="auto" w:frame="1"/>
          <w:lang w:val="en-AU"/>
        </w:rPr>
        <w:t xml:space="preserve"> </w:t>
      </w:r>
      <w:r w:rsidR="00A15497">
        <w:rPr>
          <w:bdr w:val="none" w:sz="0" w:space="0" w:color="auto" w:frame="1"/>
          <w:lang w:val="en-AU"/>
        </w:rPr>
        <w:t xml:space="preserve">is done for </w:t>
      </w:r>
      <w:r w:rsidR="00D23A11">
        <w:rPr>
          <w:bdr w:val="none" w:sz="0" w:space="0" w:color="auto" w:frame="1"/>
          <w:lang w:val="en-AU"/>
        </w:rPr>
        <w:t xml:space="preserve">the </w:t>
      </w:r>
      <w:r w:rsidRPr="00754823">
        <w:rPr>
          <w:bdr w:val="none" w:sz="0" w:space="0" w:color="auto" w:frame="1"/>
          <w:lang w:val="en-AU"/>
        </w:rPr>
        <w:t>Shipping</w:t>
      </w:r>
      <w:r>
        <w:rPr>
          <w:bdr w:val="none" w:sz="0" w:space="0" w:color="auto" w:frame="1"/>
          <w:lang w:val="en-AU"/>
        </w:rPr>
        <w:t xml:space="preserve">, </w:t>
      </w:r>
      <w:r w:rsidRPr="00754823">
        <w:rPr>
          <w:bdr w:val="none" w:sz="0" w:space="0" w:color="auto" w:frame="1"/>
          <w:lang w:val="en-AU"/>
        </w:rPr>
        <w:t>Aviation</w:t>
      </w:r>
      <w:r>
        <w:rPr>
          <w:bdr w:val="none" w:sz="0" w:space="0" w:color="auto" w:frame="1"/>
          <w:lang w:val="en-AU"/>
        </w:rPr>
        <w:t xml:space="preserve">, </w:t>
      </w:r>
      <w:r w:rsidRPr="00754823">
        <w:rPr>
          <w:bdr w:val="none" w:sz="0" w:space="0" w:color="auto" w:frame="1"/>
          <w:lang w:val="en-AU"/>
        </w:rPr>
        <w:t>Steel</w:t>
      </w:r>
      <w:r>
        <w:rPr>
          <w:bdr w:val="none" w:sz="0" w:space="0" w:color="auto" w:frame="1"/>
          <w:lang w:val="en-AU"/>
        </w:rPr>
        <w:t xml:space="preserve">, </w:t>
      </w:r>
      <w:r w:rsidR="00EC674E">
        <w:rPr>
          <w:bdr w:val="none" w:sz="0" w:space="0" w:color="auto" w:frame="1"/>
          <w:lang w:val="en-AU"/>
        </w:rPr>
        <w:t xml:space="preserve">and </w:t>
      </w:r>
      <w:r w:rsidRPr="00754823">
        <w:rPr>
          <w:bdr w:val="none" w:sz="0" w:space="0" w:color="auto" w:frame="1"/>
          <w:lang w:val="en-AU"/>
        </w:rPr>
        <w:t>Cement</w:t>
      </w:r>
      <w:r w:rsidR="00D23A11">
        <w:rPr>
          <w:bdr w:val="none" w:sz="0" w:space="0" w:color="auto" w:frame="1"/>
          <w:lang w:val="en-AU"/>
        </w:rPr>
        <w:t xml:space="preserve"> sectors</w:t>
      </w:r>
      <w:r>
        <w:rPr>
          <w:bdr w:val="none" w:sz="0" w:space="0" w:color="auto" w:frame="1"/>
          <w:lang w:val="en-AU"/>
        </w:rPr>
        <w:t>.</w:t>
      </w:r>
    </w:p>
    <w:p w14:paraId="0DE15AF6" w14:textId="6333DC79" w:rsidR="00C86280" w:rsidRPr="0028518D" w:rsidRDefault="00C86280" w:rsidP="00214167">
      <w:r>
        <w:rPr>
          <w:bdr w:val="none" w:sz="0" w:space="0" w:color="auto" w:frame="1"/>
          <w:lang w:val="en-AU"/>
        </w:rPr>
        <w:t xml:space="preserve">A technology is a method of production within a sector. </w:t>
      </w:r>
      <w:r w:rsidR="006D2B25">
        <w:rPr>
          <w:bdr w:val="none" w:sz="0" w:space="0" w:color="auto" w:frame="1"/>
          <w:lang w:val="en-AU"/>
        </w:rPr>
        <w:t xml:space="preserve">For example, within the Power sector electricity can be generated using </w:t>
      </w:r>
      <w:r w:rsidR="006D2B25">
        <w:t>c</w:t>
      </w:r>
      <w:r w:rsidR="006D2B25" w:rsidRPr="0028518D">
        <w:t xml:space="preserve">oal-fired, gas-fired, nuclear, hydro, and </w:t>
      </w:r>
      <w:r w:rsidR="006D2B25">
        <w:t xml:space="preserve">or </w:t>
      </w:r>
      <w:r w:rsidR="006D2B25" w:rsidRPr="0028518D">
        <w:t>renewable</w:t>
      </w:r>
      <w:r w:rsidR="006D2B25">
        <w:t xml:space="preserve"> power plants.  </w:t>
      </w:r>
      <w:r>
        <w:rPr>
          <w:bdr w:val="none" w:sz="0" w:space="0" w:color="auto" w:frame="1"/>
          <w:lang w:val="en-AU"/>
        </w:rPr>
        <w:t xml:space="preserve">In general, technologies within a sector produce fungible outputs, and vary by their relative “brown”- or “green”-ness.  For example, </w:t>
      </w:r>
      <w:r w:rsidR="006D2B25">
        <w:rPr>
          <w:bdr w:val="none" w:sz="0" w:space="0" w:color="auto" w:frame="1"/>
          <w:lang w:val="en-AU"/>
        </w:rPr>
        <w:t>within the Automotive sector e</w:t>
      </w:r>
      <w:r>
        <w:rPr>
          <w:bdr w:val="none" w:sz="0" w:space="0" w:color="auto" w:frame="1"/>
          <w:lang w:val="en-AU"/>
        </w:rPr>
        <w:t xml:space="preserve">lectric vehicles and gasoline engine vehicles are both considered “passenger vehicles” (fungible); electric vehicles are considered the “greener” technology option </w:t>
      </w:r>
      <w:r w:rsidR="0028518D">
        <w:rPr>
          <w:bdr w:val="none" w:sz="0" w:space="0" w:color="auto" w:frame="1"/>
          <w:lang w:val="en-AU"/>
        </w:rPr>
        <w:t xml:space="preserve">relative to gasoline engines. </w:t>
      </w:r>
    </w:p>
    <w:p w14:paraId="45854C65" w14:textId="77777777" w:rsidR="00C86280" w:rsidRPr="00C86280" w:rsidRDefault="00C86280" w:rsidP="00C86280">
      <w:pPr>
        <w:pStyle w:val="Heading3"/>
      </w:pPr>
      <w:r w:rsidRPr="00C86280">
        <w:t>Production vs Capacity</w:t>
      </w:r>
    </w:p>
    <w:p w14:paraId="2FA8B706" w14:textId="78DEDB79" w:rsidR="00497D40" w:rsidRDefault="002D211C" w:rsidP="00CB1048">
      <w:r>
        <w:t>Asset-level data</w:t>
      </w:r>
      <w:r w:rsidR="00324A5E">
        <w:t xml:space="preserve"> providers </w:t>
      </w:r>
      <w:r w:rsidR="00981820">
        <w:t>provide</w:t>
      </w:r>
      <w:r>
        <w:t xml:space="preserve"> “build out plans”</w:t>
      </w:r>
      <w:r w:rsidR="00E237E9">
        <w:t xml:space="preserve"> for each asset</w:t>
      </w:r>
      <w:r w:rsidR="00CB1048">
        <w:t xml:space="preserve"> that, depending on the sector, </w:t>
      </w:r>
      <w:r w:rsidR="00E237E9">
        <w:t>are</w:t>
      </w:r>
      <w:r w:rsidR="00CB1048">
        <w:t xml:space="preserve"> forward-looking projections of </w:t>
      </w:r>
      <w:r w:rsidR="00A83BA7">
        <w:t xml:space="preserve">either </w:t>
      </w:r>
      <w:r w:rsidR="00C86280" w:rsidRPr="0028518D">
        <w:t>production or capacity</w:t>
      </w:r>
      <w:r w:rsidR="00A87912">
        <w:t xml:space="preserve">.  </w:t>
      </w:r>
      <w:r w:rsidR="002F1DB2">
        <w:t>In contrast to production data, c</w:t>
      </w:r>
      <w:r w:rsidR="00A87912">
        <w:t>apacity data</w:t>
      </w:r>
      <w:r w:rsidR="002F1DB2">
        <w:t xml:space="preserve"> </w:t>
      </w:r>
      <w:r w:rsidR="00C86280" w:rsidRPr="0028518D">
        <w:t>require</w:t>
      </w:r>
      <w:r w:rsidR="00D23AAC">
        <w:t>s the</w:t>
      </w:r>
      <w:r w:rsidR="00C86280" w:rsidRPr="0028518D">
        <w:t xml:space="preserve"> application of a</w:t>
      </w:r>
      <w:r w:rsidR="00D23AAC">
        <w:t>n additional</w:t>
      </w:r>
      <w:r w:rsidR="00C86280" w:rsidRPr="0028518D">
        <w:t xml:space="preserve"> utilization factor to generate production </w:t>
      </w:r>
      <w:r w:rsidR="007C5146">
        <w:t>numbers</w:t>
      </w:r>
      <w:r w:rsidR="00C86280" w:rsidRPr="0028518D">
        <w:t>.</w:t>
      </w:r>
      <w:r w:rsidR="00107826">
        <w:t xml:space="preserve">  </w:t>
      </w:r>
      <w:r w:rsidR="00C86280" w:rsidRPr="0028518D">
        <w:t xml:space="preserve">  </w:t>
      </w:r>
      <w:r w:rsidR="007C5146">
        <w:br/>
      </w:r>
      <w:r w:rsidR="00107826">
        <w:t>Production data is provided for the f</w:t>
      </w:r>
      <w:r w:rsidR="00C77234">
        <w:t xml:space="preserve">ossil fuel and </w:t>
      </w:r>
      <w:r w:rsidR="007C5146">
        <w:t>automotive sector</w:t>
      </w:r>
      <w:r w:rsidR="00107826">
        <w:t xml:space="preserve">s </w:t>
      </w:r>
      <w:r w:rsidR="00C86280" w:rsidRPr="0028518D">
        <w:t xml:space="preserve">(for example, </w:t>
      </w:r>
      <w:r w:rsidR="00A55508">
        <w:t xml:space="preserve">the </w:t>
      </w:r>
      <w:r w:rsidR="001D6B23">
        <w:t>number of vehicles produced in a given year</w:t>
      </w:r>
      <w:r w:rsidR="00C86280" w:rsidRPr="0028518D">
        <w:t xml:space="preserve">), while power sector is </w:t>
      </w:r>
      <w:r w:rsidR="002C3084">
        <w:t>data is given</w:t>
      </w:r>
      <w:r w:rsidR="00A87912">
        <w:t xml:space="preserve"> as</w:t>
      </w:r>
      <w:r w:rsidR="00C86280" w:rsidRPr="0028518D">
        <w:t xml:space="preserve"> capacity (MW of installed electric generation capacity).</w:t>
      </w:r>
      <w:r w:rsidR="00A87912">
        <w:t xml:space="preserve"> </w:t>
      </w:r>
      <w:r w:rsidR="00497D40">
        <w:t xml:space="preserve">  </w:t>
      </w:r>
      <w:r w:rsidR="00A55508">
        <w:t>No</w:t>
      </w:r>
      <w:r w:rsidR="00C81026">
        <w:t xml:space="preserve"> utilization factors are applied</w:t>
      </w:r>
      <w:r w:rsidR="00A55508">
        <w:t xml:space="preserve"> in the results</w:t>
      </w:r>
      <w:r w:rsidR="00C77234">
        <w:t xml:space="preserve">; </w:t>
      </w:r>
      <w:r w:rsidR="00C81026">
        <w:t xml:space="preserve">results are in the same format (production or capacity) as </w:t>
      </w:r>
      <w:r w:rsidR="00D24AAE">
        <w:t xml:space="preserve">the </w:t>
      </w:r>
      <w:r w:rsidR="00C81026">
        <w:t>asset</w:t>
      </w:r>
      <w:r w:rsidR="00D24AAE">
        <w:t>-level</w:t>
      </w:r>
      <w:r w:rsidR="00C81026">
        <w:t xml:space="preserve"> data</w:t>
      </w:r>
      <w:r w:rsidR="00D24AAE">
        <w:t>bases</w:t>
      </w:r>
      <w:r w:rsidR="00C81026">
        <w:t>.</w:t>
      </w:r>
    </w:p>
    <w:p w14:paraId="25D0A352" w14:textId="3AED2081" w:rsidR="00C86280" w:rsidRPr="0028518D" w:rsidRDefault="00D24AAE" w:rsidP="00CB1048">
      <w:r>
        <w:t>For brevity, i</w:t>
      </w:r>
      <w:r w:rsidR="00C86280" w:rsidRPr="0028518D">
        <w:t xml:space="preserve">n the text below the term “production” is used in a generic sense to encompasses </w:t>
      </w:r>
      <w:r w:rsidR="00A87912">
        <w:t>either</w:t>
      </w:r>
      <w:r w:rsidR="00C86280" w:rsidRPr="0028518D">
        <w:t xml:space="preserve"> production or capacity</w:t>
      </w:r>
      <w:r>
        <w:t xml:space="preserve"> (which </w:t>
      </w:r>
      <w:r w:rsidR="00135AC0">
        <w:t xml:space="preserve">will </w:t>
      </w:r>
      <w:r>
        <w:t>depend on the sector)</w:t>
      </w:r>
      <w:r w:rsidR="00C86280" w:rsidRPr="0028518D">
        <w:t>.</w:t>
      </w:r>
    </w:p>
    <w:p w14:paraId="50165874" w14:textId="77777777" w:rsidR="00C86280" w:rsidRPr="00C86280" w:rsidRDefault="00C86280" w:rsidP="00C86280">
      <w:pPr>
        <w:pStyle w:val="Heading3"/>
      </w:pPr>
      <w:r w:rsidRPr="00C86280">
        <w:t>Current Plans vs Plans “consistent with the scenario”</w:t>
      </w:r>
    </w:p>
    <w:p w14:paraId="66E65EE5" w14:textId="665DD7C6" w:rsidR="006B3890" w:rsidRDefault="00203748">
      <w:r>
        <w:t>C</w:t>
      </w:r>
      <w:r w:rsidR="00C86280" w:rsidRPr="0028518D">
        <w:t xml:space="preserve">ompanies’ </w:t>
      </w:r>
      <w:r>
        <w:t>current build</w:t>
      </w:r>
      <w:r w:rsidR="005E70B2">
        <w:t>-</w:t>
      </w:r>
      <w:r>
        <w:t>out plans (production or capacity</w:t>
      </w:r>
      <w:r w:rsidR="005E70B2">
        <w:t>, depending on the sector</w:t>
      </w:r>
      <w:r>
        <w:t xml:space="preserve">) </w:t>
      </w:r>
      <w:r w:rsidR="00C42B6E">
        <w:t xml:space="preserve">are </w:t>
      </w:r>
      <w:r w:rsidR="005E70B2">
        <w:t>retrieved from data providers at the asset</w:t>
      </w:r>
      <w:r w:rsidR="00C42B6E">
        <w:t xml:space="preserve"> </w:t>
      </w:r>
      <w:r w:rsidR="005E70B2">
        <w:t>level and aggregated along the Bloomberg-defined corporate structure</w:t>
      </w:r>
      <w:r w:rsidR="00C42B6E">
        <w:t xml:space="preserve">, and are referred </w:t>
      </w:r>
      <w:r w:rsidR="00C86280" w:rsidRPr="0028518D">
        <w:t>to as the company’s “current plans”.  Columns in the output files with current plan data have the “</w:t>
      </w:r>
      <w:r w:rsidR="00C86280" w:rsidRPr="00007888">
        <w:rPr>
          <w:b/>
        </w:rPr>
        <w:t>Plan.</w:t>
      </w:r>
      <w:r w:rsidR="00C86280" w:rsidRPr="0028518D">
        <w:t>” prefix.</w:t>
      </w:r>
      <w:r w:rsidR="00C86280" w:rsidRPr="0028518D">
        <w:br/>
        <w:t>Columns in the output files with the “</w:t>
      </w:r>
      <w:proofErr w:type="spellStart"/>
      <w:r w:rsidR="00C86280" w:rsidRPr="00007888">
        <w:rPr>
          <w:b/>
        </w:rPr>
        <w:t>Scen</w:t>
      </w:r>
      <w:proofErr w:type="spellEnd"/>
      <w:r w:rsidR="00C86280" w:rsidRPr="00007888">
        <w:rPr>
          <w:b/>
        </w:rPr>
        <w:t>.</w:t>
      </w:r>
      <w:r w:rsidR="00C86280" w:rsidRPr="0028518D">
        <w:t>” prefix provide production/capacity plans consistent with the specified scenario. Data in these columns take the initial year production as a starting point, and then apply the changes specified by the scenario to produce an alternate set of production/capacity plans that are consistent with the scenario.</w:t>
      </w:r>
    </w:p>
    <w:p w14:paraId="239C3065" w14:textId="1ADE0D8E" w:rsidR="00ED6509" w:rsidRPr="00C86280" w:rsidRDefault="00ED6509" w:rsidP="00ED6509">
      <w:pPr>
        <w:pStyle w:val="Heading3"/>
      </w:pPr>
      <w:r>
        <w:t>Data Units</w:t>
      </w:r>
    </w:p>
    <w:p w14:paraId="365467BA" w14:textId="099146D0" w:rsidR="00ED6509" w:rsidRDefault="00ED6509" w:rsidP="00ED6509">
      <w:pPr>
        <w:spacing w:line="259" w:lineRule="auto"/>
      </w:pPr>
      <w:r>
        <w:t xml:space="preserve">The following table shows the units for each sector that are provided in the results files. </w:t>
      </w:r>
      <w:r w:rsidR="00605875">
        <w:t xml:space="preserve">The oil and gas sectors have been converted from Barrels of Oil and m³ of gas to GJ respectively. The conversion factor for oil is 6.12 GJ/Barrel and for gas is 0.0372 GJ/m³. </w:t>
      </w:r>
    </w:p>
    <w:tbl>
      <w:tblPr>
        <w:tblStyle w:val="PlainTable2"/>
        <w:tblW w:w="0" w:type="auto"/>
        <w:tblLook w:val="04A0" w:firstRow="1" w:lastRow="0" w:firstColumn="1" w:lastColumn="0" w:noHBand="0" w:noVBand="1"/>
      </w:tblPr>
      <w:tblGrid>
        <w:gridCol w:w="1743"/>
        <w:gridCol w:w="1743"/>
        <w:gridCol w:w="1743"/>
        <w:gridCol w:w="2426"/>
        <w:gridCol w:w="1559"/>
        <w:gridCol w:w="2405"/>
      </w:tblGrid>
      <w:tr w:rsidR="00ED6509" w14:paraId="5DDF9866" w14:textId="5072D70F" w:rsidTr="00ED6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gridSpan w:val="4"/>
            <w:shd w:val="clear" w:color="auto" w:fill="000000" w:themeFill="text1"/>
          </w:tcPr>
          <w:p w14:paraId="76E58300" w14:textId="6101A0D9" w:rsidR="00ED6509" w:rsidRPr="00ED6509" w:rsidRDefault="00ED6509" w:rsidP="00ED6509">
            <w:pPr>
              <w:spacing w:line="259" w:lineRule="auto"/>
              <w:jc w:val="center"/>
              <w:rPr>
                <w:color w:val="FFFFFF" w:themeColor="background1"/>
              </w:rPr>
            </w:pPr>
            <w:r w:rsidRPr="00ED6509">
              <w:rPr>
                <w:color w:val="FFFFFF" w:themeColor="background1"/>
              </w:rPr>
              <w:t>Production / Capacity</w:t>
            </w:r>
          </w:p>
        </w:tc>
        <w:tc>
          <w:tcPr>
            <w:tcW w:w="3964" w:type="dxa"/>
            <w:gridSpan w:val="2"/>
            <w:shd w:val="clear" w:color="auto" w:fill="000000" w:themeFill="text1"/>
          </w:tcPr>
          <w:p w14:paraId="0BB68F76" w14:textId="1118C73E" w:rsidR="00ED6509" w:rsidRPr="00ED6509" w:rsidRDefault="00ED6509" w:rsidP="00ED6509">
            <w:pPr>
              <w:spacing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ED6509">
              <w:rPr>
                <w:color w:val="FFFFFF" w:themeColor="background1"/>
              </w:rPr>
              <w:t>Emission Factors</w:t>
            </w:r>
          </w:p>
        </w:tc>
      </w:tr>
      <w:tr w:rsidR="00ED6509" w14:paraId="096EDF2A" w14:textId="75AA4E5F" w:rsidTr="0060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14:paraId="35331BD0" w14:textId="77777777" w:rsidR="00ED6509" w:rsidRDefault="00ED6509" w:rsidP="00ED6509">
            <w:pPr>
              <w:spacing w:line="259" w:lineRule="auto"/>
            </w:pPr>
            <w:r>
              <w:t>Sector</w:t>
            </w:r>
          </w:p>
        </w:tc>
        <w:tc>
          <w:tcPr>
            <w:tcW w:w="1743" w:type="dxa"/>
          </w:tcPr>
          <w:p w14:paraId="04BECA5D" w14:textId="2AD2D8B1" w:rsidR="00ED6509" w:rsidRPr="00ED6509" w:rsidRDefault="00ED6509" w:rsidP="00ED6509">
            <w:pPr>
              <w:spacing w:line="259" w:lineRule="auto"/>
              <w:cnfStyle w:val="000000100000" w:firstRow="0" w:lastRow="0" w:firstColumn="0" w:lastColumn="0" w:oddVBand="0" w:evenVBand="0" w:oddHBand="1" w:evenHBand="0" w:firstRowFirstColumn="0" w:firstRowLastColumn="0" w:lastRowFirstColumn="0" w:lastRowLastColumn="0"/>
              <w:rPr>
                <w:b/>
              </w:rPr>
            </w:pPr>
            <w:r w:rsidRPr="00ED6509">
              <w:rPr>
                <w:b/>
              </w:rPr>
              <w:t>Unit</w:t>
            </w:r>
          </w:p>
        </w:tc>
        <w:tc>
          <w:tcPr>
            <w:tcW w:w="1743" w:type="dxa"/>
          </w:tcPr>
          <w:p w14:paraId="5DBD58D2" w14:textId="1D01C2BF" w:rsidR="00ED6509" w:rsidRPr="00ED6509" w:rsidRDefault="00ED6509" w:rsidP="00ED6509">
            <w:pPr>
              <w:spacing w:line="259" w:lineRule="auto"/>
              <w:cnfStyle w:val="000000100000" w:firstRow="0" w:lastRow="0" w:firstColumn="0" w:lastColumn="0" w:oddVBand="0" w:evenVBand="0" w:oddHBand="1" w:evenHBand="0" w:firstRowFirstColumn="0" w:firstRowLastColumn="0" w:lastRowFirstColumn="0" w:lastRowLastColumn="0"/>
              <w:rPr>
                <w:b/>
              </w:rPr>
            </w:pPr>
            <w:r w:rsidRPr="00ED6509">
              <w:rPr>
                <w:b/>
              </w:rPr>
              <w:t>Sector</w:t>
            </w:r>
          </w:p>
        </w:tc>
        <w:tc>
          <w:tcPr>
            <w:tcW w:w="2426" w:type="dxa"/>
          </w:tcPr>
          <w:p w14:paraId="44055E5C" w14:textId="6798CC43" w:rsidR="00ED6509" w:rsidRPr="00ED6509" w:rsidRDefault="00ED6509" w:rsidP="00ED6509">
            <w:pPr>
              <w:spacing w:line="259" w:lineRule="auto"/>
              <w:cnfStyle w:val="000000100000" w:firstRow="0" w:lastRow="0" w:firstColumn="0" w:lastColumn="0" w:oddVBand="0" w:evenVBand="0" w:oddHBand="1" w:evenHBand="0" w:firstRowFirstColumn="0" w:firstRowLastColumn="0" w:lastRowFirstColumn="0" w:lastRowLastColumn="0"/>
              <w:rPr>
                <w:b/>
              </w:rPr>
            </w:pPr>
            <w:r w:rsidRPr="00ED6509">
              <w:rPr>
                <w:b/>
              </w:rPr>
              <w:t>Unit</w:t>
            </w:r>
          </w:p>
        </w:tc>
        <w:tc>
          <w:tcPr>
            <w:tcW w:w="1559" w:type="dxa"/>
          </w:tcPr>
          <w:p w14:paraId="218D8EAC" w14:textId="41C34631" w:rsidR="00ED6509" w:rsidRPr="00ED6509" w:rsidRDefault="00ED6509" w:rsidP="00ED6509">
            <w:pPr>
              <w:spacing w:line="259" w:lineRule="auto"/>
              <w:cnfStyle w:val="000000100000" w:firstRow="0" w:lastRow="0" w:firstColumn="0" w:lastColumn="0" w:oddVBand="0" w:evenVBand="0" w:oddHBand="1" w:evenHBand="0" w:firstRowFirstColumn="0" w:firstRowLastColumn="0" w:lastRowFirstColumn="0" w:lastRowLastColumn="0"/>
              <w:rPr>
                <w:b/>
              </w:rPr>
            </w:pPr>
            <w:r w:rsidRPr="00ED6509">
              <w:rPr>
                <w:b/>
              </w:rPr>
              <w:t>Sector</w:t>
            </w:r>
          </w:p>
        </w:tc>
        <w:tc>
          <w:tcPr>
            <w:tcW w:w="2405" w:type="dxa"/>
          </w:tcPr>
          <w:p w14:paraId="4EA70F36" w14:textId="7B688C61" w:rsidR="00ED6509" w:rsidRPr="00ED6509" w:rsidRDefault="00ED6509" w:rsidP="00ED6509">
            <w:pPr>
              <w:spacing w:line="259" w:lineRule="auto"/>
              <w:cnfStyle w:val="000000100000" w:firstRow="0" w:lastRow="0" w:firstColumn="0" w:lastColumn="0" w:oddVBand="0" w:evenVBand="0" w:oddHBand="1" w:evenHBand="0" w:firstRowFirstColumn="0" w:firstRowLastColumn="0" w:lastRowFirstColumn="0" w:lastRowLastColumn="0"/>
              <w:rPr>
                <w:b/>
              </w:rPr>
            </w:pPr>
            <w:r w:rsidRPr="00ED6509">
              <w:rPr>
                <w:b/>
              </w:rPr>
              <w:t>Unit</w:t>
            </w:r>
          </w:p>
        </w:tc>
      </w:tr>
      <w:tr w:rsidR="00ED6509" w14:paraId="161C4101" w14:textId="79FF6354" w:rsidTr="00605875">
        <w:tc>
          <w:tcPr>
            <w:cnfStyle w:val="001000000000" w:firstRow="0" w:lastRow="0" w:firstColumn="1" w:lastColumn="0" w:oddVBand="0" w:evenVBand="0" w:oddHBand="0" w:evenHBand="0" w:firstRowFirstColumn="0" w:firstRowLastColumn="0" w:lastRowFirstColumn="0" w:lastRowLastColumn="0"/>
            <w:tcW w:w="1743" w:type="dxa"/>
            <w:shd w:val="clear" w:color="auto" w:fill="F2F2F2" w:themeFill="background1" w:themeFillShade="F2"/>
          </w:tcPr>
          <w:p w14:paraId="7D73F84A" w14:textId="4ED7F735" w:rsidR="00ED6509" w:rsidRDefault="00ED6509" w:rsidP="00ED6509">
            <w:pPr>
              <w:spacing w:line="259" w:lineRule="auto"/>
            </w:pPr>
            <w:r>
              <w:t>Power</w:t>
            </w:r>
          </w:p>
        </w:tc>
        <w:tc>
          <w:tcPr>
            <w:tcW w:w="1743" w:type="dxa"/>
            <w:shd w:val="clear" w:color="auto" w:fill="F2F2F2" w:themeFill="background1" w:themeFillShade="F2"/>
          </w:tcPr>
          <w:p w14:paraId="65092B43" w14:textId="282809DA" w:rsidR="00ED6509" w:rsidRDefault="00ED6509" w:rsidP="00ED6509">
            <w:pPr>
              <w:spacing w:line="259" w:lineRule="auto"/>
              <w:cnfStyle w:val="000000000000" w:firstRow="0" w:lastRow="0" w:firstColumn="0" w:lastColumn="0" w:oddVBand="0" w:evenVBand="0" w:oddHBand="0" w:evenHBand="0" w:firstRowFirstColumn="0" w:firstRowLastColumn="0" w:lastRowFirstColumn="0" w:lastRowLastColumn="0"/>
            </w:pPr>
            <w:r>
              <w:t>MW</w:t>
            </w:r>
          </w:p>
        </w:tc>
        <w:tc>
          <w:tcPr>
            <w:tcW w:w="1743" w:type="dxa"/>
            <w:shd w:val="clear" w:color="auto" w:fill="F2F2F2" w:themeFill="background1" w:themeFillShade="F2"/>
          </w:tcPr>
          <w:p w14:paraId="26744DDA" w14:textId="7B68613F" w:rsidR="00ED6509" w:rsidRDefault="00ED6509" w:rsidP="00ED6509">
            <w:pPr>
              <w:spacing w:line="259" w:lineRule="auto"/>
              <w:cnfStyle w:val="000000000000" w:firstRow="0" w:lastRow="0" w:firstColumn="0" w:lastColumn="0" w:oddVBand="0" w:evenVBand="0" w:oddHBand="0" w:evenHBand="0" w:firstRowFirstColumn="0" w:firstRowLastColumn="0" w:lastRowFirstColumn="0" w:lastRowLastColumn="0"/>
            </w:pPr>
            <w:r>
              <w:t>Aviation</w:t>
            </w:r>
          </w:p>
        </w:tc>
        <w:tc>
          <w:tcPr>
            <w:tcW w:w="2426" w:type="dxa"/>
            <w:shd w:val="clear" w:color="auto" w:fill="F2F2F2" w:themeFill="background1" w:themeFillShade="F2"/>
          </w:tcPr>
          <w:p w14:paraId="56DB7664" w14:textId="1C4C0622" w:rsidR="00ED6509" w:rsidRDefault="00ED6509" w:rsidP="00ED6509">
            <w:pPr>
              <w:spacing w:line="259" w:lineRule="auto"/>
              <w:cnfStyle w:val="000000000000" w:firstRow="0" w:lastRow="0" w:firstColumn="0" w:lastColumn="0" w:oddVBand="0" w:evenVBand="0" w:oddHBand="0" w:evenHBand="0" w:firstRowFirstColumn="0" w:firstRowLastColumn="0" w:lastRowFirstColumn="0" w:lastRowLastColumn="0"/>
            </w:pPr>
            <w:r>
              <w:t>Number of planes</w:t>
            </w:r>
          </w:p>
        </w:tc>
        <w:tc>
          <w:tcPr>
            <w:tcW w:w="1559" w:type="dxa"/>
            <w:shd w:val="clear" w:color="auto" w:fill="F2F2F2" w:themeFill="background1" w:themeFillShade="F2"/>
          </w:tcPr>
          <w:p w14:paraId="5592901D" w14:textId="74DE697C" w:rsidR="00ED6509" w:rsidRDefault="00ED6509" w:rsidP="00ED6509">
            <w:pPr>
              <w:spacing w:line="259" w:lineRule="auto"/>
              <w:cnfStyle w:val="000000000000" w:firstRow="0" w:lastRow="0" w:firstColumn="0" w:lastColumn="0" w:oddVBand="0" w:evenVBand="0" w:oddHBand="0" w:evenHBand="0" w:firstRowFirstColumn="0" w:firstRowLastColumn="0" w:lastRowFirstColumn="0" w:lastRowLastColumn="0"/>
            </w:pPr>
            <w:r>
              <w:t>Aviation</w:t>
            </w:r>
          </w:p>
        </w:tc>
        <w:tc>
          <w:tcPr>
            <w:tcW w:w="2405" w:type="dxa"/>
            <w:shd w:val="clear" w:color="auto" w:fill="F2F2F2" w:themeFill="background1" w:themeFillShade="F2"/>
          </w:tcPr>
          <w:p w14:paraId="72AF9973" w14:textId="7811C849" w:rsidR="00ED6509" w:rsidRDefault="00ED6509" w:rsidP="00ED6509">
            <w:pPr>
              <w:spacing w:line="259" w:lineRule="auto"/>
              <w:cnfStyle w:val="000000000000" w:firstRow="0" w:lastRow="0" w:firstColumn="0" w:lastColumn="0" w:oddVBand="0" w:evenVBand="0" w:oddHBand="0" w:evenHBand="0" w:firstRowFirstColumn="0" w:firstRowLastColumn="0" w:lastRowFirstColumn="0" w:lastRowLastColumn="0"/>
            </w:pPr>
            <w:r>
              <w:t>kg CO2/km passenger</w:t>
            </w:r>
          </w:p>
        </w:tc>
      </w:tr>
      <w:tr w:rsidR="00ED6509" w14:paraId="366B7BE0" w14:textId="559EC6B7" w:rsidTr="0060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14:paraId="54F6939C" w14:textId="3478F500" w:rsidR="00ED6509" w:rsidRDefault="00ED6509" w:rsidP="00ED6509">
            <w:pPr>
              <w:spacing w:line="259" w:lineRule="auto"/>
            </w:pPr>
            <w:r>
              <w:t>Oil and Gas</w:t>
            </w:r>
          </w:p>
        </w:tc>
        <w:tc>
          <w:tcPr>
            <w:tcW w:w="1743" w:type="dxa"/>
          </w:tcPr>
          <w:p w14:paraId="1289B61F" w14:textId="713F8673" w:rsidR="00ED6509" w:rsidRDefault="00ED6509" w:rsidP="00ED6509">
            <w:pPr>
              <w:spacing w:line="259" w:lineRule="auto"/>
              <w:cnfStyle w:val="000000100000" w:firstRow="0" w:lastRow="0" w:firstColumn="0" w:lastColumn="0" w:oddVBand="0" w:evenVBand="0" w:oddHBand="1" w:evenHBand="0" w:firstRowFirstColumn="0" w:firstRowLastColumn="0" w:lastRowFirstColumn="0" w:lastRowLastColumn="0"/>
            </w:pPr>
            <w:r>
              <w:t>GJ/day</w:t>
            </w:r>
          </w:p>
        </w:tc>
        <w:tc>
          <w:tcPr>
            <w:tcW w:w="1743" w:type="dxa"/>
          </w:tcPr>
          <w:p w14:paraId="52C60368" w14:textId="09005C5E" w:rsidR="00ED6509" w:rsidRDefault="00ED6509" w:rsidP="00ED6509">
            <w:pPr>
              <w:spacing w:line="259" w:lineRule="auto"/>
              <w:cnfStyle w:val="000000100000" w:firstRow="0" w:lastRow="0" w:firstColumn="0" w:lastColumn="0" w:oddVBand="0" w:evenVBand="0" w:oddHBand="1" w:evenHBand="0" w:firstRowFirstColumn="0" w:firstRowLastColumn="0" w:lastRowFirstColumn="0" w:lastRowLastColumn="0"/>
            </w:pPr>
            <w:r>
              <w:t>Cement</w:t>
            </w:r>
          </w:p>
        </w:tc>
        <w:tc>
          <w:tcPr>
            <w:tcW w:w="2426" w:type="dxa"/>
          </w:tcPr>
          <w:p w14:paraId="117D96F5" w14:textId="6870FB35" w:rsidR="00ED6509" w:rsidRDefault="00ED6509" w:rsidP="00ED6509">
            <w:pPr>
              <w:spacing w:line="259" w:lineRule="auto"/>
              <w:cnfStyle w:val="000000100000" w:firstRow="0" w:lastRow="0" w:firstColumn="0" w:lastColumn="0" w:oddVBand="0" w:evenVBand="0" w:oddHBand="1" w:evenHBand="0" w:firstRowFirstColumn="0" w:firstRowLastColumn="0" w:lastRowFirstColumn="0" w:lastRowLastColumn="0"/>
            </w:pPr>
            <w:r>
              <w:t>t/a</w:t>
            </w:r>
          </w:p>
        </w:tc>
        <w:tc>
          <w:tcPr>
            <w:tcW w:w="1559" w:type="dxa"/>
          </w:tcPr>
          <w:p w14:paraId="473A30B9" w14:textId="7082D5A3" w:rsidR="00ED6509" w:rsidRDefault="00ED6509" w:rsidP="00ED6509">
            <w:pPr>
              <w:spacing w:line="259" w:lineRule="auto"/>
              <w:cnfStyle w:val="000000100000" w:firstRow="0" w:lastRow="0" w:firstColumn="0" w:lastColumn="0" w:oddVBand="0" w:evenVBand="0" w:oddHBand="1" w:evenHBand="0" w:firstRowFirstColumn="0" w:firstRowLastColumn="0" w:lastRowFirstColumn="0" w:lastRowLastColumn="0"/>
            </w:pPr>
            <w:r>
              <w:t>Cement</w:t>
            </w:r>
          </w:p>
        </w:tc>
        <w:tc>
          <w:tcPr>
            <w:tcW w:w="2405" w:type="dxa"/>
          </w:tcPr>
          <w:p w14:paraId="1E6C05AC" w14:textId="2892410A" w:rsidR="00ED6509" w:rsidRDefault="00ED6509" w:rsidP="00ED6509">
            <w:pPr>
              <w:spacing w:line="259" w:lineRule="auto"/>
              <w:ind w:left="720" w:hanging="720"/>
              <w:cnfStyle w:val="000000100000" w:firstRow="0" w:lastRow="0" w:firstColumn="0" w:lastColumn="0" w:oddVBand="0" w:evenVBand="0" w:oddHBand="1" w:evenHBand="0" w:firstRowFirstColumn="0" w:firstRowLastColumn="0" w:lastRowFirstColumn="0" w:lastRowLastColumn="0"/>
            </w:pPr>
            <w:r>
              <w:t>t CO2/t Cement</w:t>
            </w:r>
          </w:p>
        </w:tc>
      </w:tr>
      <w:tr w:rsidR="00ED6509" w14:paraId="5BA8D002" w14:textId="31225082" w:rsidTr="00605875">
        <w:tc>
          <w:tcPr>
            <w:cnfStyle w:val="001000000000" w:firstRow="0" w:lastRow="0" w:firstColumn="1" w:lastColumn="0" w:oddVBand="0" w:evenVBand="0" w:oddHBand="0" w:evenHBand="0" w:firstRowFirstColumn="0" w:firstRowLastColumn="0" w:lastRowFirstColumn="0" w:lastRowLastColumn="0"/>
            <w:tcW w:w="1743" w:type="dxa"/>
            <w:shd w:val="clear" w:color="auto" w:fill="F2F2F2" w:themeFill="background1" w:themeFillShade="F2"/>
          </w:tcPr>
          <w:p w14:paraId="6B7F6C2A" w14:textId="6FEB6D64" w:rsidR="00ED6509" w:rsidRDefault="00ED6509" w:rsidP="00ED6509">
            <w:pPr>
              <w:spacing w:line="259" w:lineRule="auto"/>
            </w:pPr>
            <w:r>
              <w:t>Coal</w:t>
            </w:r>
          </w:p>
        </w:tc>
        <w:tc>
          <w:tcPr>
            <w:tcW w:w="1743" w:type="dxa"/>
            <w:shd w:val="clear" w:color="auto" w:fill="F2F2F2" w:themeFill="background1" w:themeFillShade="F2"/>
          </w:tcPr>
          <w:p w14:paraId="126584EA" w14:textId="10ED444A" w:rsidR="00ED6509" w:rsidRDefault="00ED6509" w:rsidP="00ED6509">
            <w:pPr>
              <w:spacing w:line="259" w:lineRule="auto"/>
              <w:cnfStyle w:val="000000000000" w:firstRow="0" w:lastRow="0" w:firstColumn="0" w:lastColumn="0" w:oddVBand="0" w:evenVBand="0" w:oddHBand="0" w:evenHBand="0" w:firstRowFirstColumn="0" w:firstRowLastColumn="0" w:lastRowFirstColumn="0" w:lastRowLastColumn="0"/>
            </w:pPr>
            <w:r>
              <w:t>t/a</w:t>
            </w:r>
          </w:p>
        </w:tc>
        <w:tc>
          <w:tcPr>
            <w:tcW w:w="1743" w:type="dxa"/>
            <w:shd w:val="clear" w:color="auto" w:fill="F2F2F2" w:themeFill="background1" w:themeFillShade="F2"/>
          </w:tcPr>
          <w:p w14:paraId="195095F3" w14:textId="52BFDF50" w:rsidR="00ED6509" w:rsidRDefault="00ED6509" w:rsidP="00ED6509">
            <w:pPr>
              <w:spacing w:line="259" w:lineRule="auto"/>
              <w:cnfStyle w:val="000000000000" w:firstRow="0" w:lastRow="0" w:firstColumn="0" w:lastColumn="0" w:oddVBand="0" w:evenVBand="0" w:oddHBand="0" w:evenHBand="0" w:firstRowFirstColumn="0" w:firstRowLastColumn="0" w:lastRowFirstColumn="0" w:lastRowLastColumn="0"/>
            </w:pPr>
            <w:r>
              <w:t>Shipping</w:t>
            </w:r>
          </w:p>
        </w:tc>
        <w:tc>
          <w:tcPr>
            <w:tcW w:w="2426" w:type="dxa"/>
            <w:shd w:val="clear" w:color="auto" w:fill="F2F2F2" w:themeFill="background1" w:themeFillShade="F2"/>
          </w:tcPr>
          <w:p w14:paraId="439553E2" w14:textId="25E6F494" w:rsidR="00ED6509" w:rsidRDefault="00ED6509" w:rsidP="00ED6509">
            <w:pPr>
              <w:spacing w:line="259" w:lineRule="auto"/>
              <w:cnfStyle w:val="000000000000" w:firstRow="0" w:lastRow="0" w:firstColumn="0" w:lastColumn="0" w:oddVBand="0" w:evenVBand="0" w:oddHBand="0" w:evenHBand="0" w:firstRowFirstColumn="0" w:firstRowLastColumn="0" w:lastRowFirstColumn="0" w:lastRowLastColumn="0"/>
            </w:pPr>
            <w:r>
              <w:t>Number of Ships</w:t>
            </w:r>
          </w:p>
        </w:tc>
        <w:tc>
          <w:tcPr>
            <w:tcW w:w="1559" w:type="dxa"/>
            <w:shd w:val="clear" w:color="auto" w:fill="F2F2F2" w:themeFill="background1" w:themeFillShade="F2"/>
          </w:tcPr>
          <w:p w14:paraId="0C774779" w14:textId="55EE6676" w:rsidR="00ED6509" w:rsidRDefault="00ED6509" w:rsidP="00ED6509">
            <w:pPr>
              <w:spacing w:line="259" w:lineRule="auto"/>
              <w:cnfStyle w:val="000000000000" w:firstRow="0" w:lastRow="0" w:firstColumn="0" w:lastColumn="0" w:oddVBand="0" w:evenVBand="0" w:oddHBand="0" w:evenHBand="0" w:firstRowFirstColumn="0" w:firstRowLastColumn="0" w:lastRowFirstColumn="0" w:lastRowLastColumn="0"/>
            </w:pPr>
            <w:r>
              <w:t>Steel</w:t>
            </w:r>
          </w:p>
        </w:tc>
        <w:tc>
          <w:tcPr>
            <w:tcW w:w="2405" w:type="dxa"/>
            <w:shd w:val="clear" w:color="auto" w:fill="F2F2F2" w:themeFill="background1" w:themeFillShade="F2"/>
          </w:tcPr>
          <w:p w14:paraId="56FDA1EE" w14:textId="3CD75E30" w:rsidR="00ED6509" w:rsidRDefault="00ED6509" w:rsidP="00ED6509">
            <w:pPr>
              <w:spacing w:line="259" w:lineRule="auto"/>
              <w:cnfStyle w:val="000000000000" w:firstRow="0" w:lastRow="0" w:firstColumn="0" w:lastColumn="0" w:oddVBand="0" w:evenVBand="0" w:oddHBand="0" w:evenHBand="0" w:firstRowFirstColumn="0" w:firstRowLastColumn="0" w:lastRowFirstColumn="0" w:lastRowLastColumn="0"/>
            </w:pPr>
            <w:r>
              <w:t>t CO2/t Steel</w:t>
            </w:r>
          </w:p>
        </w:tc>
      </w:tr>
      <w:tr w:rsidR="00ED6509" w14:paraId="3C064A51" w14:textId="5B3A1169" w:rsidTr="0060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14:paraId="5A6815C4" w14:textId="11FBF152" w:rsidR="00ED6509" w:rsidRDefault="00ED6509" w:rsidP="00ED6509">
            <w:pPr>
              <w:spacing w:line="259" w:lineRule="auto"/>
            </w:pPr>
            <w:r>
              <w:t>Automotive</w:t>
            </w:r>
          </w:p>
        </w:tc>
        <w:tc>
          <w:tcPr>
            <w:tcW w:w="1743" w:type="dxa"/>
          </w:tcPr>
          <w:p w14:paraId="6617D9AA" w14:textId="16035510" w:rsidR="00ED6509" w:rsidRDefault="00ED6509" w:rsidP="00ED6509">
            <w:pPr>
              <w:spacing w:line="259" w:lineRule="auto"/>
              <w:cnfStyle w:val="000000100000" w:firstRow="0" w:lastRow="0" w:firstColumn="0" w:lastColumn="0" w:oddVBand="0" w:evenVBand="0" w:oddHBand="1" w:evenHBand="0" w:firstRowFirstColumn="0" w:firstRowLastColumn="0" w:lastRowFirstColumn="0" w:lastRowLastColumn="0"/>
            </w:pPr>
            <w:r>
              <w:t>Number of cars</w:t>
            </w:r>
          </w:p>
        </w:tc>
        <w:tc>
          <w:tcPr>
            <w:tcW w:w="1743" w:type="dxa"/>
          </w:tcPr>
          <w:p w14:paraId="20450708" w14:textId="063BFC2C" w:rsidR="00ED6509" w:rsidRDefault="00ED6509" w:rsidP="00ED6509">
            <w:pPr>
              <w:spacing w:line="259" w:lineRule="auto"/>
              <w:cnfStyle w:val="000000100000" w:firstRow="0" w:lastRow="0" w:firstColumn="0" w:lastColumn="0" w:oddVBand="0" w:evenVBand="0" w:oddHBand="1" w:evenHBand="0" w:firstRowFirstColumn="0" w:firstRowLastColumn="0" w:lastRowFirstColumn="0" w:lastRowLastColumn="0"/>
            </w:pPr>
            <w:r>
              <w:t>Steel</w:t>
            </w:r>
          </w:p>
        </w:tc>
        <w:tc>
          <w:tcPr>
            <w:tcW w:w="2426" w:type="dxa"/>
          </w:tcPr>
          <w:p w14:paraId="132B7BE0" w14:textId="4645D583" w:rsidR="00ED6509" w:rsidRDefault="00ED6509" w:rsidP="00ED6509">
            <w:pPr>
              <w:spacing w:line="259" w:lineRule="auto"/>
              <w:cnfStyle w:val="000000100000" w:firstRow="0" w:lastRow="0" w:firstColumn="0" w:lastColumn="0" w:oddVBand="0" w:evenVBand="0" w:oddHBand="1" w:evenHBand="0" w:firstRowFirstColumn="0" w:firstRowLastColumn="0" w:lastRowFirstColumn="0" w:lastRowLastColumn="0"/>
            </w:pPr>
            <w:r>
              <w:t>t/a</w:t>
            </w:r>
          </w:p>
        </w:tc>
        <w:tc>
          <w:tcPr>
            <w:tcW w:w="1559" w:type="dxa"/>
          </w:tcPr>
          <w:p w14:paraId="5DBABCD7" w14:textId="73646802" w:rsidR="00ED6509" w:rsidRDefault="00ED6509" w:rsidP="00ED6509">
            <w:pPr>
              <w:spacing w:line="259" w:lineRule="auto"/>
              <w:cnfStyle w:val="000000100000" w:firstRow="0" w:lastRow="0" w:firstColumn="0" w:lastColumn="0" w:oddVBand="0" w:evenVBand="0" w:oddHBand="1" w:evenHBand="0" w:firstRowFirstColumn="0" w:firstRowLastColumn="0" w:lastRowFirstColumn="0" w:lastRowLastColumn="0"/>
            </w:pPr>
          </w:p>
        </w:tc>
        <w:tc>
          <w:tcPr>
            <w:tcW w:w="2405" w:type="dxa"/>
          </w:tcPr>
          <w:p w14:paraId="5FEB59D2" w14:textId="4695943B" w:rsidR="00ED6509" w:rsidRDefault="00ED6509" w:rsidP="00ED6509">
            <w:pPr>
              <w:spacing w:line="259" w:lineRule="auto"/>
              <w:cnfStyle w:val="000000100000" w:firstRow="0" w:lastRow="0" w:firstColumn="0" w:lastColumn="0" w:oddVBand="0" w:evenVBand="0" w:oddHBand="1" w:evenHBand="0" w:firstRowFirstColumn="0" w:firstRowLastColumn="0" w:lastRowFirstColumn="0" w:lastRowLastColumn="0"/>
            </w:pPr>
          </w:p>
        </w:tc>
      </w:tr>
    </w:tbl>
    <w:p w14:paraId="26F961C1" w14:textId="2C2C1494" w:rsidR="00EA15BD" w:rsidRPr="00711856" w:rsidRDefault="00EA15BD" w:rsidP="007409A7">
      <w:pPr>
        <w:pStyle w:val="Heading2"/>
      </w:pPr>
      <w:r>
        <w:lastRenderedPageBreak/>
        <w:t>Data Dictionary</w:t>
      </w:r>
    </w:p>
    <w:p w14:paraId="5DAF6E60" w14:textId="3D11C1CD" w:rsidR="003854C7" w:rsidRPr="00D0665A" w:rsidRDefault="00D0665A" w:rsidP="00D0665A">
      <w:r>
        <w:t xml:space="preserve">Describes </w:t>
      </w:r>
      <w:r w:rsidR="00AD1DFD">
        <w:t xml:space="preserve">the </w:t>
      </w:r>
      <w:r>
        <w:t xml:space="preserve">columns </w:t>
      </w:r>
      <w:r w:rsidR="002C3E0B">
        <w:t xml:space="preserve">in </w:t>
      </w:r>
      <w:r w:rsidR="00FC58AB">
        <w:t xml:space="preserve">the scenario analysis </w:t>
      </w:r>
      <w:r w:rsidR="002E65AD">
        <w:t>results</w:t>
      </w:r>
      <w:r w:rsidR="002C3E0B">
        <w:t xml:space="preserve"> files</w:t>
      </w:r>
      <w:r w:rsidR="00FC58AB">
        <w:t>.</w:t>
      </w:r>
    </w:p>
    <w:p w14:paraId="4827DD90" w14:textId="09DCA52F" w:rsidR="00EA15BD" w:rsidRDefault="00EA15BD" w:rsidP="00C12BE7">
      <w:pPr>
        <w:pStyle w:val="Heading3"/>
      </w:pPr>
      <w:r>
        <w:t>Identifier</w:t>
      </w:r>
      <w:r w:rsidR="009D17FA">
        <w:t>s</w:t>
      </w:r>
    </w:p>
    <w:p w14:paraId="59E2C53A" w14:textId="0CEF45FE" w:rsidR="00DD00ED" w:rsidRPr="00DD00ED" w:rsidRDefault="00EA15BD" w:rsidP="00EA15BD">
      <w:r>
        <w:t>These columns uniquely identify a row of results.</w:t>
      </w:r>
    </w:p>
    <w:tbl>
      <w:tblPr>
        <w:tblStyle w:val="PlainTable2"/>
        <w:tblW w:w="14175" w:type="dxa"/>
        <w:tblLayout w:type="fixed"/>
        <w:tblLook w:val="04A0" w:firstRow="1" w:lastRow="0" w:firstColumn="1" w:lastColumn="0" w:noHBand="0" w:noVBand="1"/>
      </w:tblPr>
      <w:tblGrid>
        <w:gridCol w:w="1615"/>
        <w:gridCol w:w="1620"/>
        <w:gridCol w:w="10940"/>
      </w:tblGrid>
      <w:tr w:rsidR="003E3FB4" w:rsidRPr="005115AA" w14:paraId="3C829D12" w14:textId="77777777" w:rsidTr="003E3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2E2F31"/>
            <w:vAlign w:val="center"/>
          </w:tcPr>
          <w:p w14:paraId="0CA1E6BF" w14:textId="4E42035B" w:rsidR="003E3FB4" w:rsidRPr="003854C7" w:rsidRDefault="003E3FB4" w:rsidP="00B35B9D">
            <w:pPr>
              <w:pStyle w:val="BodyText"/>
              <w:rPr>
                <w:rStyle w:val="Strong"/>
                <w:b/>
                <w:color w:val="FFFFFF" w:themeColor="background1"/>
              </w:rPr>
            </w:pPr>
            <w:r w:rsidRPr="003854C7">
              <w:rPr>
                <w:rStyle w:val="Strong"/>
                <w:b/>
                <w:color w:val="FFFFFF" w:themeColor="background1"/>
              </w:rPr>
              <w:t>Column Name</w:t>
            </w:r>
          </w:p>
        </w:tc>
        <w:tc>
          <w:tcPr>
            <w:tcW w:w="1620" w:type="dxa"/>
            <w:shd w:val="clear" w:color="auto" w:fill="2E2F31"/>
            <w:vAlign w:val="center"/>
          </w:tcPr>
          <w:p w14:paraId="3A1DDB4B" w14:textId="75CDEE5A" w:rsidR="003E3FB4" w:rsidRPr="003854C7" w:rsidRDefault="003E3FB4" w:rsidP="00B35B9D">
            <w:pPr>
              <w:pStyle w:val="BodyText"/>
              <w:cnfStyle w:val="100000000000" w:firstRow="1" w:lastRow="0" w:firstColumn="0" w:lastColumn="0" w:oddVBand="0" w:evenVBand="0" w:oddHBand="0" w:evenHBand="0" w:firstRowFirstColumn="0" w:firstRowLastColumn="0" w:lastRowFirstColumn="0" w:lastRowLastColumn="0"/>
              <w:rPr>
                <w:rStyle w:val="Strong"/>
                <w:b/>
                <w:color w:val="FFFFFF" w:themeColor="background1"/>
              </w:rPr>
            </w:pPr>
            <w:r w:rsidRPr="003854C7">
              <w:rPr>
                <w:rStyle w:val="Strong"/>
                <w:b/>
                <w:color w:val="FFFFFF" w:themeColor="background1"/>
              </w:rPr>
              <w:t>Which asset class does this column apply to?</w:t>
            </w:r>
          </w:p>
        </w:tc>
        <w:tc>
          <w:tcPr>
            <w:tcW w:w="10940" w:type="dxa"/>
            <w:shd w:val="clear" w:color="auto" w:fill="2E2F31"/>
            <w:vAlign w:val="center"/>
          </w:tcPr>
          <w:p w14:paraId="14347BEB" w14:textId="77777777" w:rsidR="003E3FB4" w:rsidRPr="003854C7" w:rsidRDefault="003E3FB4" w:rsidP="00B35B9D">
            <w:pPr>
              <w:pStyle w:val="BodyText"/>
              <w:cnfStyle w:val="100000000000" w:firstRow="1" w:lastRow="0" w:firstColumn="0" w:lastColumn="0" w:oddVBand="0" w:evenVBand="0" w:oddHBand="0" w:evenHBand="0" w:firstRowFirstColumn="0" w:firstRowLastColumn="0" w:lastRowFirstColumn="0" w:lastRowLastColumn="0"/>
              <w:rPr>
                <w:rStyle w:val="Strong"/>
                <w:b/>
                <w:color w:val="FFFFFF" w:themeColor="background1"/>
              </w:rPr>
            </w:pPr>
          </w:p>
        </w:tc>
      </w:tr>
      <w:tr w:rsidR="003E3FB4" w:rsidRPr="0039275B" w14:paraId="1F3EC93B" w14:textId="77777777" w:rsidTr="003E3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F2F2F2"/>
            <w:vAlign w:val="center"/>
          </w:tcPr>
          <w:p w14:paraId="7F9A3B08" w14:textId="77777777" w:rsidR="003E3FB4" w:rsidRPr="0039275B" w:rsidRDefault="003E3FB4" w:rsidP="00B35B9D">
            <w:pPr>
              <w:pStyle w:val="BodyText"/>
              <w:rPr>
                <w:rFonts w:eastAsia="Times New Roman" w:cstheme="minorHAnsi"/>
                <w:color w:val="000000"/>
                <w:bdr w:val="none" w:sz="0" w:space="0" w:color="auto" w:frame="1"/>
              </w:rPr>
            </w:pPr>
            <w:proofErr w:type="spellStart"/>
            <w:r w:rsidRPr="0039275B">
              <w:rPr>
                <w:rFonts w:eastAsia="Times New Roman" w:cstheme="minorHAnsi"/>
                <w:color w:val="000000"/>
                <w:bdr w:val="none" w:sz="0" w:space="0" w:color="auto" w:frame="1"/>
              </w:rPr>
              <w:t>Investor.Name</w:t>
            </w:r>
            <w:proofErr w:type="spellEnd"/>
          </w:p>
        </w:tc>
        <w:tc>
          <w:tcPr>
            <w:tcW w:w="1620" w:type="dxa"/>
            <w:shd w:val="clear" w:color="auto" w:fill="F2F2F2"/>
            <w:vAlign w:val="center"/>
          </w:tcPr>
          <w:p w14:paraId="40E7FC3D" w14:textId="2B8BF331" w:rsidR="003E3FB4" w:rsidRPr="0039275B" w:rsidRDefault="003E3FB4" w:rsidP="00B35B9D">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EQ, CB</w:t>
            </w:r>
          </w:p>
        </w:tc>
        <w:tc>
          <w:tcPr>
            <w:tcW w:w="10940" w:type="dxa"/>
            <w:shd w:val="clear" w:color="auto" w:fill="F2F2F2"/>
            <w:vAlign w:val="center"/>
          </w:tcPr>
          <w:p w14:paraId="5AD7AE19" w14:textId="52F9EA0C" w:rsidR="003E3FB4" w:rsidRPr="0039275B" w:rsidRDefault="003E3FB4" w:rsidP="00B35B9D">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lang w:val="en-AU"/>
              </w:rPr>
            </w:pPr>
            <w:r w:rsidRPr="0039275B">
              <w:rPr>
                <w:rFonts w:eastAsia="Times New Roman" w:cstheme="minorHAnsi"/>
                <w:color w:val="000000"/>
                <w:bdr w:val="none" w:sz="0" w:space="0" w:color="auto" w:frame="1"/>
                <w:lang w:val="en-AU"/>
              </w:rPr>
              <w:t>Investor Name</w:t>
            </w:r>
          </w:p>
        </w:tc>
      </w:tr>
      <w:tr w:rsidR="003E3FB4" w:rsidRPr="0039275B" w14:paraId="25EBD6CD" w14:textId="77777777" w:rsidTr="003E3FB4">
        <w:tc>
          <w:tcPr>
            <w:cnfStyle w:val="001000000000" w:firstRow="0" w:lastRow="0" w:firstColumn="1" w:lastColumn="0" w:oddVBand="0" w:evenVBand="0" w:oddHBand="0" w:evenHBand="0" w:firstRowFirstColumn="0" w:firstRowLastColumn="0" w:lastRowFirstColumn="0" w:lastRowLastColumn="0"/>
            <w:tcW w:w="1615" w:type="dxa"/>
            <w:vAlign w:val="center"/>
          </w:tcPr>
          <w:p w14:paraId="46BA8F3C" w14:textId="77777777" w:rsidR="003E3FB4" w:rsidRPr="0039275B" w:rsidRDefault="003E3FB4" w:rsidP="00B35B9D">
            <w:pPr>
              <w:pStyle w:val="BodyText"/>
              <w:rPr>
                <w:rFonts w:eastAsia="Times New Roman" w:cstheme="minorHAnsi"/>
                <w:color w:val="000000"/>
                <w:bdr w:val="none" w:sz="0" w:space="0" w:color="auto" w:frame="1"/>
              </w:rPr>
            </w:pPr>
            <w:proofErr w:type="spellStart"/>
            <w:r w:rsidRPr="0039275B">
              <w:rPr>
                <w:rFonts w:eastAsia="Times New Roman" w:cstheme="minorHAnsi"/>
                <w:color w:val="000000"/>
                <w:bdr w:val="none" w:sz="0" w:space="0" w:color="auto" w:frame="1"/>
              </w:rPr>
              <w:t>Portfolio.Name</w:t>
            </w:r>
            <w:proofErr w:type="spellEnd"/>
          </w:p>
        </w:tc>
        <w:tc>
          <w:tcPr>
            <w:tcW w:w="1620" w:type="dxa"/>
            <w:vAlign w:val="center"/>
          </w:tcPr>
          <w:p w14:paraId="769580A8" w14:textId="0E0CD171" w:rsidR="003E3FB4" w:rsidRPr="0039275B" w:rsidRDefault="003E3FB4" w:rsidP="00B35B9D">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EQ, CB</w:t>
            </w:r>
          </w:p>
        </w:tc>
        <w:tc>
          <w:tcPr>
            <w:tcW w:w="10940" w:type="dxa"/>
            <w:vAlign w:val="center"/>
          </w:tcPr>
          <w:p w14:paraId="7E15D07A" w14:textId="64B962EF" w:rsidR="003E3FB4" w:rsidRPr="0039275B" w:rsidRDefault="003E3FB4" w:rsidP="00B35B9D">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sidRPr="0039275B">
              <w:rPr>
                <w:rFonts w:eastAsia="Times New Roman" w:cstheme="minorHAnsi"/>
                <w:color w:val="000000"/>
                <w:bdr w:val="none" w:sz="0" w:space="0" w:color="auto" w:frame="1"/>
                <w:lang w:val="en-AU"/>
              </w:rPr>
              <w:t>Portfolio Name</w:t>
            </w:r>
          </w:p>
        </w:tc>
      </w:tr>
      <w:tr w:rsidR="003E3FB4" w:rsidRPr="0039275B" w14:paraId="4787F18E" w14:textId="77777777" w:rsidTr="003E3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F2F2F2"/>
            <w:vAlign w:val="center"/>
          </w:tcPr>
          <w:p w14:paraId="639C4153" w14:textId="77777777" w:rsidR="003E3FB4" w:rsidRPr="0039275B" w:rsidRDefault="003E3FB4" w:rsidP="00B35B9D">
            <w:pPr>
              <w:pStyle w:val="BodyText"/>
              <w:rPr>
                <w:rFonts w:eastAsia="Times New Roman" w:cstheme="minorHAnsi"/>
                <w:color w:val="000000"/>
                <w:bdr w:val="none" w:sz="0" w:space="0" w:color="auto" w:frame="1"/>
              </w:rPr>
            </w:pPr>
            <w:r w:rsidRPr="0039275B">
              <w:rPr>
                <w:rFonts w:eastAsia="Times New Roman" w:cstheme="minorHAnsi"/>
                <w:color w:val="000000"/>
                <w:bdr w:val="none" w:sz="0" w:space="0" w:color="auto" w:frame="1"/>
              </w:rPr>
              <w:t>Scenario</w:t>
            </w:r>
          </w:p>
        </w:tc>
        <w:tc>
          <w:tcPr>
            <w:tcW w:w="1620" w:type="dxa"/>
            <w:shd w:val="clear" w:color="auto" w:fill="F2F2F2"/>
            <w:vAlign w:val="center"/>
          </w:tcPr>
          <w:p w14:paraId="1EA5FB69" w14:textId="1CCB9A3E" w:rsidR="003E3FB4" w:rsidRDefault="003E3FB4" w:rsidP="00B35B9D">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EQ, CB</w:t>
            </w:r>
          </w:p>
        </w:tc>
        <w:tc>
          <w:tcPr>
            <w:tcW w:w="10940" w:type="dxa"/>
            <w:shd w:val="clear" w:color="auto" w:fill="F2F2F2"/>
            <w:vAlign w:val="center"/>
          </w:tcPr>
          <w:p w14:paraId="67854863" w14:textId="77777777" w:rsidR="003E3FB4" w:rsidRDefault="003E3FB4" w:rsidP="00B35B9D">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 xml:space="preserve">Identifies the scenario applied to calculate production “under the scenario”, which are saved in the </w:t>
            </w:r>
          </w:p>
          <w:p w14:paraId="7C82F899" w14:textId="5D89B662" w:rsidR="003E3FB4" w:rsidRPr="0039275B" w:rsidRDefault="003E3FB4" w:rsidP="00B35B9D">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lang w:val="en-AU"/>
              </w:rPr>
            </w:pPr>
            <w:proofErr w:type="gramStart"/>
            <w:r>
              <w:rPr>
                <w:rFonts w:eastAsia="Times New Roman" w:cstheme="minorHAnsi"/>
                <w:color w:val="000000"/>
                <w:bdr w:val="none" w:sz="0" w:space="0" w:color="auto" w:frame="1"/>
                <w:lang w:val="en-AU"/>
              </w:rPr>
              <w:t>“.</w:t>
            </w:r>
            <w:proofErr w:type="spellStart"/>
            <w:r>
              <w:rPr>
                <w:rFonts w:eastAsia="Times New Roman" w:cstheme="minorHAnsi"/>
                <w:color w:val="000000"/>
                <w:bdr w:val="none" w:sz="0" w:space="0" w:color="auto" w:frame="1"/>
                <w:lang w:val="en-AU"/>
              </w:rPr>
              <w:t>Scen</w:t>
            </w:r>
            <w:proofErr w:type="spellEnd"/>
            <w:proofErr w:type="gramEnd"/>
            <w:r>
              <w:rPr>
                <w:rFonts w:eastAsia="Times New Roman" w:cstheme="minorHAnsi"/>
                <w:color w:val="000000"/>
                <w:bdr w:val="none" w:sz="0" w:space="0" w:color="auto" w:frame="1"/>
                <w:lang w:val="en-AU"/>
              </w:rPr>
              <w:t>” columns.  IEA Scenarios currently included are the IEA’s: B2DS, SDS, CPS, and NPS.</w:t>
            </w:r>
          </w:p>
        </w:tc>
      </w:tr>
      <w:tr w:rsidR="003E3FB4" w:rsidRPr="0039275B" w14:paraId="24CF33AC" w14:textId="77777777" w:rsidTr="003E3FB4">
        <w:tc>
          <w:tcPr>
            <w:cnfStyle w:val="001000000000" w:firstRow="0" w:lastRow="0" w:firstColumn="1" w:lastColumn="0" w:oddVBand="0" w:evenVBand="0" w:oddHBand="0" w:evenHBand="0" w:firstRowFirstColumn="0" w:firstRowLastColumn="0" w:lastRowFirstColumn="0" w:lastRowLastColumn="0"/>
            <w:tcW w:w="1615" w:type="dxa"/>
            <w:vAlign w:val="center"/>
          </w:tcPr>
          <w:p w14:paraId="454AA4AF" w14:textId="77777777" w:rsidR="003E3FB4" w:rsidRPr="0039275B" w:rsidRDefault="003E3FB4" w:rsidP="00B35B9D">
            <w:pPr>
              <w:pStyle w:val="BodyText"/>
              <w:rPr>
                <w:rFonts w:eastAsia="Times New Roman" w:cstheme="minorHAnsi"/>
                <w:color w:val="000000"/>
                <w:bdr w:val="none" w:sz="0" w:space="0" w:color="auto" w:frame="1"/>
              </w:rPr>
            </w:pPr>
            <w:r w:rsidRPr="0039275B">
              <w:rPr>
                <w:rFonts w:eastAsia="Times New Roman" w:cstheme="minorHAnsi"/>
                <w:color w:val="000000"/>
                <w:bdr w:val="none" w:sz="0" w:space="0" w:color="auto" w:frame="1"/>
              </w:rPr>
              <w:t>Allocation</w:t>
            </w:r>
          </w:p>
        </w:tc>
        <w:tc>
          <w:tcPr>
            <w:tcW w:w="1620" w:type="dxa"/>
            <w:vAlign w:val="center"/>
          </w:tcPr>
          <w:p w14:paraId="0D602241" w14:textId="49E90D39" w:rsidR="003E3FB4" w:rsidRDefault="003E3FB4" w:rsidP="00B35B9D">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EQ, CB</w:t>
            </w:r>
          </w:p>
        </w:tc>
        <w:tc>
          <w:tcPr>
            <w:tcW w:w="10940" w:type="dxa"/>
            <w:vAlign w:val="center"/>
          </w:tcPr>
          <w:p w14:paraId="64976ABB" w14:textId="7A5248D0" w:rsidR="003E3FB4" w:rsidRPr="0039275B" w:rsidRDefault="003E3FB4" w:rsidP="00B35B9D">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Identifies the allocation method used for allocating some portion of the production of an entire company (pulled from ALD) to the company’s securities held in the portfolio. Also referred to as the Accounting Principle. Possible values are:</w:t>
            </w:r>
          </w:p>
          <w:p w14:paraId="2A576534" w14:textId="1782670C" w:rsidR="003E3FB4" w:rsidRDefault="003E3FB4" w:rsidP="00B35B9D">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proofErr w:type="spellStart"/>
            <w:r w:rsidRPr="00877B66">
              <w:rPr>
                <w:rFonts w:eastAsia="Times New Roman" w:cstheme="minorHAnsi"/>
                <w:color w:val="000000"/>
                <w:bdr w:val="none" w:sz="0" w:space="0" w:color="auto" w:frame="1"/>
                <w:lang w:val="en-AU"/>
              </w:rPr>
              <w:t>PortfolioWeight</w:t>
            </w:r>
            <w:proofErr w:type="spellEnd"/>
            <w:r>
              <w:rPr>
                <w:rFonts w:eastAsia="Times New Roman" w:cstheme="minorHAnsi"/>
                <w:color w:val="000000"/>
                <w:bdr w:val="none" w:sz="0" w:space="0" w:color="auto" w:frame="1"/>
                <w:lang w:val="en-AU"/>
              </w:rPr>
              <w:t xml:space="preserve">. (used for EQ and CB) – production is allocated based on the weight (by Market Value) of the company’s securities in the portfolio.  </w:t>
            </w:r>
          </w:p>
          <w:p w14:paraId="5B9CAE15" w14:textId="2652330A" w:rsidR="003E3FB4" w:rsidRPr="00877B66" w:rsidRDefault="003E3FB4" w:rsidP="00B35B9D">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sidRPr="00877B66">
              <w:rPr>
                <w:rFonts w:eastAsia="Times New Roman" w:cstheme="minorHAnsi"/>
                <w:color w:val="000000"/>
                <w:bdr w:val="none" w:sz="0" w:space="0" w:color="auto" w:frame="1"/>
                <w:lang w:val="en-AU"/>
              </w:rPr>
              <w:t>Ownership</w:t>
            </w:r>
            <w:r>
              <w:rPr>
                <w:rFonts w:eastAsia="Times New Roman" w:cstheme="minorHAnsi"/>
                <w:color w:val="000000"/>
                <w:bdr w:val="none" w:sz="0" w:space="0" w:color="auto" w:frame="1"/>
                <w:lang w:val="en-AU"/>
              </w:rPr>
              <w:t xml:space="preserve">. </w:t>
            </w:r>
            <w:r w:rsidRPr="00877B66">
              <w:rPr>
                <w:rFonts w:eastAsia="Times New Roman" w:cstheme="minorHAnsi"/>
                <w:color w:val="000000"/>
                <w:bdr w:val="none" w:sz="0" w:space="0" w:color="auto" w:frame="1"/>
                <w:lang w:val="en-AU"/>
              </w:rPr>
              <w:t>(EQ only)</w:t>
            </w:r>
            <w:r>
              <w:rPr>
                <w:rFonts w:eastAsia="Times New Roman" w:cstheme="minorHAnsi"/>
                <w:color w:val="000000"/>
                <w:bdr w:val="none" w:sz="0" w:space="0" w:color="auto" w:frame="1"/>
                <w:lang w:val="en-AU"/>
              </w:rPr>
              <w:t xml:space="preserve"> – production is allocated based on the share of a company owned by the portfolio (i.e., percent of free floating shares owned).</w:t>
            </w:r>
          </w:p>
        </w:tc>
      </w:tr>
      <w:tr w:rsidR="003E3FB4" w:rsidRPr="0039275B" w14:paraId="52BF8214" w14:textId="77777777" w:rsidTr="003E3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F2F2F2"/>
            <w:vAlign w:val="center"/>
          </w:tcPr>
          <w:p w14:paraId="3BFE115F" w14:textId="77777777" w:rsidR="003E3FB4" w:rsidRPr="0039275B" w:rsidRDefault="003E3FB4" w:rsidP="00B35B9D">
            <w:pPr>
              <w:pStyle w:val="BodyText"/>
              <w:rPr>
                <w:rFonts w:eastAsia="Times New Roman" w:cstheme="minorHAnsi"/>
                <w:color w:val="000000"/>
                <w:bdr w:val="none" w:sz="0" w:space="0" w:color="auto" w:frame="1"/>
              </w:rPr>
            </w:pPr>
            <w:proofErr w:type="spellStart"/>
            <w:r w:rsidRPr="0039275B">
              <w:rPr>
                <w:rFonts w:eastAsia="Times New Roman" w:cstheme="minorHAnsi"/>
                <w:color w:val="000000"/>
                <w:bdr w:val="none" w:sz="0" w:space="0" w:color="auto" w:frame="1"/>
              </w:rPr>
              <w:t>EquityMarket</w:t>
            </w:r>
            <w:proofErr w:type="spellEnd"/>
          </w:p>
        </w:tc>
        <w:tc>
          <w:tcPr>
            <w:tcW w:w="1620" w:type="dxa"/>
            <w:shd w:val="clear" w:color="auto" w:fill="F2F2F2"/>
            <w:vAlign w:val="center"/>
          </w:tcPr>
          <w:p w14:paraId="20A5CB1B" w14:textId="662E4E3B" w:rsidR="003E3FB4" w:rsidRPr="008073CE" w:rsidRDefault="003E3FB4" w:rsidP="00B35B9D">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EQ</w:t>
            </w:r>
          </w:p>
        </w:tc>
        <w:tc>
          <w:tcPr>
            <w:tcW w:w="10940" w:type="dxa"/>
            <w:shd w:val="clear" w:color="auto" w:fill="F2F2F2"/>
            <w:vAlign w:val="center"/>
          </w:tcPr>
          <w:p w14:paraId="0CB35BF7" w14:textId="4F1174E2" w:rsidR="003E3FB4" w:rsidRPr="00FC05FF" w:rsidRDefault="003E3FB4" w:rsidP="00B35B9D">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lang w:val="en-AU"/>
              </w:rPr>
            </w:pPr>
            <w:r w:rsidRPr="008073CE">
              <w:rPr>
                <w:rFonts w:eastAsia="Times New Roman" w:cstheme="minorHAnsi"/>
                <w:color w:val="000000"/>
                <w:bdr w:val="none" w:sz="0" w:space="0" w:color="auto" w:frame="1"/>
                <w:lang w:val="en-AU"/>
              </w:rPr>
              <w:t>A grouping</w:t>
            </w:r>
            <w:r>
              <w:rPr>
                <w:rFonts w:eastAsia="Times New Roman" w:cstheme="minorHAnsi"/>
                <w:color w:val="000000"/>
                <w:bdr w:val="none" w:sz="0" w:space="0" w:color="auto" w:frame="1"/>
                <w:lang w:val="en-AU"/>
              </w:rPr>
              <w:t>/filtering</w:t>
            </w:r>
            <w:r w:rsidRPr="008073CE">
              <w:rPr>
                <w:rFonts w:eastAsia="Times New Roman" w:cstheme="minorHAnsi"/>
                <w:color w:val="000000"/>
                <w:bdr w:val="none" w:sz="0" w:space="0" w:color="auto" w:frame="1"/>
                <w:lang w:val="en-AU"/>
              </w:rPr>
              <w:t xml:space="preserve"> variable based on the country of domicile</w:t>
            </w:r>
            <w:r>
              <w:rPr>
                <w:rFonts w:eastAsia="Times New Roman" w:cstheme="minorHAnsi"/>
                <w:color w:val="000000"/>
                <w:bdr w:val="none" w:sz="0" w:space="0" w:color="auto" w:frame="1"/>
                <w:lang w:val="en-AU"/>
              </w:rPr>
              <w:t xml:space="preserve"> of the company issuing the securities.  Based on its country of domicile, every company in the equity portfolio is mapped to one or more of the following </w:t>
            </w:r>
            <w:proofErr w:type="spellStart"/>
            <w:r>
              <w:rPr>
                <w:rFonts w:eastAsia="Times New Roman" w:cstheme="minorHAnsi"/>
                <w:color w:val="000000"/>
                <w:bdr w:val="none" w:sz="0" w:space="0" w:color="auto" w:frame="1"/>
                <w:lang w:val="en-AU"/>
              </w:rPr>
              <w:t>EquityMarket</w:t>
            </w:r>
            <w:proofErr w:type="spellEnd"/>
            <w:r>
              <w:rPr>
                <w:rFonts w:eastAsia="Times New Roman" w:cstheme="minorHAnsi"/>
                <w:color w:val="000000"/>
                <w:bdr w:val="none" w:sz="0" w:space="0" w:color="auto" w:frame="1"/>
                <w:lang w:val="en-AU"/>
              </w:rPr>
              <w:t xml:space="preserve"> values: Global, Developed, or </w:t>
            </w:r>
            <w:proofErr w:type="spellStart"/>
            <w:r>
              <w:rPr>
                <w:rFonts w:eastAsia="Times New Roman" w:cstheme="minorHAnsi"/>
                <w:color w:val="000000"/>
                <w:bdr w:val="none" w:sz="0" w:space="0" w:color="auto" w:frame="1"/>
                <w:lang w:val="en-AU"/>
              </w:rPr>
              <w:t>EmergingMarkets</w:t>
            </w:r>
            <w:proofErr w:type="spellEnd"/>
            <w:r>
              <w:rPr>
                <w:rFonts w:eastAsia="Times New Roman" w:cstheme="minorHAnsi"/>
                <w:color w:val="000000"/>
                <w:bdr w:val="none" w:sz="0" w:space="0" w:color="auto" w:frame="1"/>
                <w:lang w:val="en-AU"/>
              </w:rPr>
              <w:t>.</w:t>
            </w:r>
          </w:p>
          <w:p w14:paraId="1CED32B8" w14:textId="7C186723" w:rsidR="003E3FB4" w:rsidRPr="00262611" w:rsidRDefault="003E3FB4" w:rsidP="00B35B9D">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For example, production from a company domiciled in the US would be included in both “Global” and “Developed” results.</w:t>
            </w:r>
          </w:p>
        </w:tc>
      </w:tr>
      <w:tr w:rsidR="003E3FB4" w:rsidRPr="0039275B" w14:paraId="7CE6BD41" w14:textId="77777777" w:rsidTr="003E3FB4">
        <w:tc>
          <w:tcPr>
            <w:cnfStyle w:val="001000000000" w:firstRow="0" w:lastRow="0" w:firstColumn="1" w:lastColumn="0" w:oddVBand="0" w:evenVBand="0" w:oddHBand="0" w:evenHBand="0" w:firstRowFirstColumn="0" w:firstRowLastColumn="0" w:lastRowFirstColumn="0" w:lastRowLastColumn="0"/>
            <w:tcW w:w="1615" w:type="dxa"/>
            <w:vAlign w:val="center"/>
          </w:tcPr>
          <w:p w14:paraId="11D16F40" w14:textId="77777777" w:rsidR="003E3FB4" w:rsidRDefault="003E3FB4" w:rsidP="00B35B9D">
            <w:pPr>
              <w:pStyle w:val="BodyText"/>
              <w:rPr>
                <w:rFonts w:eastAsia="Times New Roman" w:cstheme="minorHAnsi"/>
                <w:b w:val="0"/>
                <w:color w:val="000000"/>
                <w:bdr w:val="none" w:sz="0" w:space="0" w:color="auto" w:frame="1"/>
              </w:rPr>
            </w:pPr>
            <w:r w:rsidRPr="0039275B">
              <w:rPr>
                <w:rFonts w:eastAsia="Times New Roman" w:cstheme="minorHAnsi"/>
                <w:color w:val="000000"/>
                <w:bdr w:val="none" w:sz="0" w:space="0" w:color="auto" w:frame="1"/>
              </w:rPr>
              <w:t>Scenario</w:t>
            </w:r>
          </w:p>
          <w:p w14:paraId="17EE0CD0" w14:textId="6F906722" w:rsidR="003E3FB4" w:rsidRPr="0039275B" w:rsidRDefault="003E3FB4" w:rsidP="00B35B9D">
            <w:pPr>
              <w:pStyle w:val="BodyText"/>
              <w:rPr>
                <w:rFonts w:eastAsia="Times New Roman" w:cstheme="minorHAnsi"/>
                <w:color w:val="000000"/>
                <w:bdr w:val="none" w:sz="0" w:space="0" w:color="auto" w:frame="1"/>
              </w:rPr>
            </w:pPr>
            <w:r w:rsidRPr="0039275B">
              <w:rPr>
                <w:rFonts w:eastAsia="Times New Roman" w:cstheme="minorHAnsi"/>
                <w:color w:val="000000"/>
                <w:bdr w:val="none" w:sz="0" w:space="0" w:color="auto" w:frame="1"/>
              </w:rPr>
              <w:t>Geography</w:t>
            </w:r>
          </w:p>
        </w:tc>
        <w:tc>
          <w:tcPr>
            <w:tcW w:w="1620" w:type="dxa"/>
            <w:vAlign w:val="center"/>
          </w:tcPr>
          <w:p w14:paraId="6B3C208F" w14:textId="0B78BF7A" w:rsidR="003E3FB4" w:rsidRPr="0039275B" w:rsidRDefault="003E3FB4" w:rsidP="00B35B9D">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highlight w:val="yellow"/>
                <w:bdr w:val="none" w:sz="0" w:space="0" w:color="auto" w:frame="1"/>
                <w:lang w:val="en-AU"/>
              </w:rPr>
            </w:pPr>
            <w:r w:rsidRPr="0072335E">
              <w:rPr>
                <w:rFonts w:eastAsia="Times New Roman" w:cstheme="minorHAnsi"/>
                <w:color w:val="000000"/>
                <w:bdr w:val="none" w:sz="0" w:space="0" w:color="auto" w:frame="1"/>
                <w:lang w:val="en-AU"/>
              </w:rPr>
              <w:t>EQ, CB</w:t>
            </w:r>
          </w:p>
        </w:tc>
        <w:tc>
          <w:tcPr>
            <w:tcW w:w="10940" w:type="dxa"/>
            <w:vAlign w:val="center"/>
          </w:tcPr>
          <w:p w14:paraId="12FC421A" w14:textId="578DD38E" w:rsidR="003E3FB4" w:rsidRDefault="003E3FB4" w:rsidP="00B35B9D">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sidRPr="007E6D42">
              <w:rPr>
                <w:rFonts w:eastAsia="Times New Roman" w:cstheme="minorHAnsi"/>
                <w:color w:val="000000"/>
                <w:bdr w:val="none" w:sz="0" w:space="0" w:color="auto" w:frame="1"/>
                <w:lang w:val="en-AU"/>
              </w:rPr>
              <w:t xml:space="preserve">A grouping/filtering variable based on the country where production is located.  Every country is mapped to one or more of the following regional </w:t>
            </w:r>
            <w:r>
              <w:rPr>
                <w:rFonts w:eastAsia="Times New Roman" w:cstheme="minorHAnsi"/>
                <w:color w:val="000000"/>
                <w:bdr w:val="none" w:sz="0" w:space="0" w:color="auto" w:frame="1"/>
                <w:lang w:val="en-AU"/>
              </w:rPr>
              <w:t>Scenario G</w:t>
            </w:r>
            <w:r w:rsidRPr="007E6D42">
              <w:rPr>
                <w:rFonts w:eastAsia="Times New Roman" w:cstheme="minorHAnsi"/>
                <w:color w:val="000000"/>
                <w:bdr w:val="none" w:sz="0" w:space="0" w:color="auto" w:frame="1"/>
                <w:lang w:val="en-AU"/>
              </w:rPr>
              <w:t>eograph</w:t>
            </w:r>
            <w:r>
              <w:rPr>
                <w:rFonts w:eastAsia="Times New Roman" w:cstheme="minorHAnsi"/>
                <w:color w:val="000000"/>
                <w:bdr w:val="none" w:sz="0" w:space="0" w:color="auto" w:frame="1"/>
                <w:lang w:val="en-AU"/>
              </w:rPr>
              <w:t>ies</w:t>
            </w:r>
            <w:r w:rsidRPr="007E6D42">
              <w:rPr>
                <w:rFonts w:eastAsia="Times New Roman" w:cstheme="minorHAnsi"/>
                <w:color w:val="000000"/>
                <w:bdr w:val="none" w:sz="0" w:space="0" w:color="auto" w:frame="1"/>
                <w:lang w:val="en-AU"/>
              </w:rPr>
              <w:t>:</w:t>
            </w:r>
            <w:r>
              <w:rPr>
                <w:rFonts w:eastAsia="Times New Roman" w:cstheme="minorHAnsi"/>
                <w:color w:val="000000"/>
                <w:bdr w:val="none" w:sz="0" w:space="0" w:color="auto" w:frame="1"/>
                <w:lang w:val="en-AU"/>
              </w:rPr>
              <w:t xml:space="preserve"> </w:t>
            </w:r>
            <w:r w:rsidRPr="00834802">
              <w:rPr>
                <w:rFonts w:eastAsia="Times New Roman" w:cstheme="minorHAnsi"/>
                <w:color w:val="000000"/>
                <w:bdr w:val="none" w:sz="0" w:space="0" w:color="auto" w:frame="1"/>
                <w:lang w:val="en-AU"/>
              </w:rPr>
              <w:t>Global</w:t>
            </w:r>
            <w:r>
              <w:rPr>
                <w:rFonts w:eastAsia="Times New Roman" w:cstheme="minorHAnsi"/>
                <w:color w:val="000000"/>
                <w:bdr w:val="none" w:sz="0" w:space="0" w:color="auto" w:frame="1"/>
                <w:lang w:val="en-AU"/>
              </w:rPr>
              <w:t xml:space="preserve">, </w:t>
            </w:r>
            <w:proofErr w:type="spellStart"/>
            <w:r>
              <w:rPr>
                <w:rFonts w:eastAsia="Times New Roman" w:cstheme="minorHAnsi"/>
                <w:color w:val="000000"/>
                <w:bdr w:val="none" w:sz="0" w:space="0" w:color="auto" w:frame="1"/>
                <w:lang w:val="en-AU"/>
              </w:rPr>
              <w:t>GlobalAggregate</w:t>
            </w:r>
            <w:proofErr w:type="spellEnd"/>
            <w:r>
              <w:rPr>
                <w:rFonts w:eastAsia="Times New Roman" w:cstheme="minorHAnsi"/>
                <w:color w:val="000000"/>
                <w:bdr w:val="none" w:sz="0" w:space="0" w:color="auto" w:frame="1"/>
                <w:lang w:val="en-AU"/>
              </w:rPr>
              <w:t xml:space="preserve">, </w:t>
            </w:r>
            <w:r w:rsidRPr="00834802">
              <w:rPr>
                <w:rFonts w:eastAsia="Times New Roman" w:cstheme="minorHAnsi"/>
                <w:color w:val="000000"/>
                <w:bdr w:val="none" w:sz="0" w:space="0" w:color="auto" w:frame="1"/>
                <w:lang w:val="en-AU"/>
              </w:rPr>
              <w:t>OECD</w:t>
            </w:r>
            <w:r>
              <w:rPr>
                <w:rFonts w:eastAsia="Times New Roman" w:cstheme="minorHAnsi"/>
                <w:color w:val="000000"/>
                <w:bdr w:val="none" w:sz="0" w:space="0" w:color="auto" w:frame="1"/>
                <w:lang w:val="en-AU"/>
              </w:rPr>
              <w:t xml:space="preserve">, </w:t>
            </w:r>
            <w:r w:rsidRPr="00834802">
              <w:rPr>
                <w:rFonts w:eastAsia="Times New Roman" w:cstheme="minorHAnsi"/>
                <w:color w:val="000000"/>
                <w:bdr w:val="none" w:sz="0" w:space="0" w:color="auto" w:frame="1"/>
                <w:lang w:val="en-AU"/>
              </w:rPr>
              <w:t>Non-OECD</w:t>
            </w:r>
            <w:r>
              <w:rPr>
                <w:rFonts w:eastAsia="Times New Roman" w:cstheme="minorHAnsi"/>
                <w:color w:val="000000"/>
                <w:bdr w:val="none" w:sz="0" w:space="0" w:color="auto" w:frame="1"/>
                <w:lang w:val="en-AU"/>
              </w:rPr>
              <w:t xml:space="preserve">, North America, </w:t>
            </w:r>
            <w:r w:rsidRPr="00834802">
              <w:rPr>
                <w:rFonts w:eastAsia="Times New Roman" w:cstheme="minorHAnsi"/>
                <w:color w:val="000000"/>
                <w:bdr w:val="none" w:sz="0" w:space="0" w:color="auto" w:frame="1"/>
                <w:lang w:val="en-AU"/>
              </w:rPr>
              <w:t>Europe</w:t>
            </w:r>
            <w:r>
              <w:rPr>
                <w:rFonts w:eastAsia="Times New Roman" w:cstheme="minorHAnsi"/>
                <w:color w:val="000000"/>
                <w:bdr w:val="none" w:sz="0" w:space="0" w:color="auto" w:frame="1"/>
                <w:lang w:val="en-AU"/>
              </w:rPr>
              <w:t xml:space="preserve">, and </w:t>
            </w:r>
            <w:r w:rsidRPr="00834802">
              <w:rPr>
                <w:rFonts w:eastAsia="Times New Roman" w:cstheme="minorHAnsi"/>
                <w:color w:val="000000"/>
                <w:bdr w:val="none" w:sz="0" w:space="0" w:color="auto" w:frame="1"/>
                <w:lang w:val="en-AU"/>
              </w:rPr>
              <w:t>Asia Pacific</w:t>
            </w:r>
            <w:r>
              <w:rPr>
                <w:rFonts w:eastAsia="Times New Roman" w:cstheme="minorHAnsi"/>
                <w:color w:val="000000"/>
                <w:bdr w:val="none" w:sz="0" w:space="0" w:color="auto" w:frame="1"/>
                <w:lang w:val="en-AU"/>
              </w:rPr>
              <w:t>.</w:t>
            </w:r>
            <w:r w:rsidRPr="00834802">
              <w:rPr>
                <w:rFonts w:eastAsia="Times New Roman" w:cstheme="minorHAnsi"/>
                <w:color w:val="000000"/>
                <w:bdr w:val="none" w:sz="0" w:space="0" w:color="auto" w:frame="1"/>
                <w:lang w:val="en-AU"/>
              </w:rPr>
              <w:t xml:space="preserve"> </w:t>
            </w:r>
          </w:p>
          <w:p w14:paraId="76F9D41C" w14:textId="694B3B18" w:rsidR="003E3FB4" w:rsidRDefault="003E3FB4" w:rsidP="00B35B9D">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sidRPr="00BD69A6">
              <w:rPr>
                <w:rFonts w:eastAsia="Times New Roman" w:cstheme="minorHAnsi"/>
                <w:color w:val="000000"/>
                <w:bdr w:val="none" w:sz="0" w:space="0" w:color="auto" w:frame="1"/>
                <w:lang w:val="en-AU"/>
              </w:rPr>
              <w:t>For example, production located in Japan would be included in “Global”, “OECD”, and “</w:t>
            </w:r>
            <w:proofErr w:type="spellStart"/>
            <w:r w:rsidRPr="00BD69A6">
              <w:rPr>
                <w:rFonts w:eastAsia="Times New Roman" w:cstheme="minorHAnsi"/>
                <w:color w:val="000000"/>
                <w:bdr w:val="none" w:sz="0" w:space="0" w:color="auto" w:frame="1"/>
                <w:lang w:val="en-AU"/>
              </w:rPr>
              <w:t>AsiaPacific</w:t>
            </w:r>
            <w:proofErr w:type="spellEnd"/>
            <w:r w:rsidRPr="00BD69A6">
              <w:rPr>
                <w:rFonts w:eastAsia="Times New Roman" w:cstheme="minorHAnsi"/>
                <w:color w:val="000000"/>
                <w:bdr w:val="none" w:sz="0" w:space="0" w:color="auto" w:frame="1"/>
                <w:lang w:val="en-AU"/>
              </w:rPr>
              <w:t>”</w:t>
            </w:r>
            <w:r>
              <w:rPr>
                <w:rFonts w:eastAsia="Times New Roman" w:cstheme="minorHAnsi"/>
                <w:color w:val="000000"/>
                <w:bdr w:val="none" w:sz="0" w:space="0" w:color="auto" w:frame="1"/>
                <w:lang w:val="en-AU"/>
              </w:rPr>
              <w:t xml:space="preserve"> results.</w:t>
            </w:r>
          </w:p>
          <w:p w14:paraId="226E4F59" w14:textId="74435E84" w:rsidR="003E3FB4" w:rsidRPr="003E3FB4" w:rsidRDefault="003E3FB4" w:rsidP="00B35B9D">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 xml:space="preserve">Global Aggregate is different from Global for the power sector. While the global refers to the scenario targets at the global level, the global aggregate uses the most regional scenario for a certain plant and aggregates the scenario values up. For example, for a portfolio with power capacity in the US and India, the global aggregate scenario would reflect the scenarios of both the US and India based on the share of capacity between the two countries. </w:t>
            </w:r>
          </w:p>
        </w:tc>
      </w:tr>
      <w:tr w:rsidR="003E3FB4" w:rsidRPr="0039275B" w14:paraId="709784DB" w14:textId="77777777" w:rsidTr="003E3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F2F2F2"/>
            <w:vAlign w:val="center"/>
          </w:tcPr>
          <w:p w14:paraId="3AF76219" w14:textId="77777777" w:rsidR="003E3FB4" w:rsidRPr="0039275B" w:rsidRDefault="003E3FB4" w:rsidP="00B35B9D">
            <w:pPr>
              <w:pStyle w:val="BodyText"/>
              <w:rPr>
                <w:rFonts w:eastAsia="Times New Roman" w:cstheme="minorHAnsi"/>
                <w:color w:val="000000"/>
                <w:bdr w:val="none" w:sz="0" w:space="0" w:color="auto" w:frame="1"/>
              </w:rPr>
            </w:pPr>
            <w:r w:rsidRPr="0039275B">
              <w:rPr>
                <w:rFonts w:eastAsia="Times New Roman" w:cstheme="minorHAnsi"/>
                <w:color w:val="000000"/>
                <w:bdr w:val="none" w:sz="0" w:space="0" w:color="auto" w:frame="1"/>
              </w:rPr>
              <w:t>Sector</w:t>
            </w:r>
          </w:p>
        </w:tc>
        <w:tc>
          <w:tcPr>
            <w:tcW w:w="1620" w:type="dxa"/>
            <w:shd w:val="clear" w:color="auto" w:fill="F2F2F2"/>
            <w:vAlign w:val="center"/>
          </w:tcPr>
          <w:p w14:paraId="06BB36FE" w14:textId="092BB450" w:rsidR="003E3FB4" w:rsidRPr="0039275B" w:rsidRDefault="003E3FB4" w:rsidP="00B35B9D">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EQ, CB</w:t>
            </w:r>
          </w:p>
        </w:tc>
        <w:tc>
          <w:tcPr>
            <w:tcW w:w="10940" w:type="dxa"/>
            <w:shd w:val="clear" w:color="auto" w:fill="F2F2F2"/>
            <w:vAlign w:val="center"/>
          </w:tcPr>
          <w:p w14:paraId="3F7B19BF" w14:textId="7BEC1596" w:rsidR="003E3FB4" w:rsidRPr="0039275B" w:rsidRDefault="003E3FB4" w:rsidP="00B35B9D">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Identifies the sector of production, based on the asset-level data.</w:t>
            </w:r>
          </w:p>
        </w:tc>
      </w:tr>
      <w:tr w:rsidR="003E3FB4" w:rsidRPr="0039275B" w14:paraId="45CE0955" w14:textId="77777777" w:rsidTr="003E3FB4">
        <w:tc>
          <w:tcPr>
            <w:cnfStyle w:val="001000000000" w:firstRow="0" w:lastRow="0" w:firstColumn="1" w:lastColumn="0" w:oddVBand="0" w:evenVBand="0" w:oddHBand="0" w:evenHBand="0" w:firstRowFirstColumn="0" w:firstRowLastColumn="0" w:lastRowFirstColumn="0" w:lastRowLastColumn="0"/>
            <w:tcW w:w="1615" w:type="dxa"/>
            <w:vAlign w:val="center"/>
          </w:tcPr>
          <w:p w14:paraId="7FD0C8E8" w14:textId="77777777" w:rsidR="003E3FB4" w:rsidRPr="0039275B" w:rsidRDefault="003E3FB4" w:rsidP="00B35B9D">
            <w:pPr>
              <w:pStyle w:val="BodyText"/>
              <w:rPr>
                <w:rFonts w:eastAsia="Times New Roman" w:cstheme="minorHAnsi"/>
                <w:color w:val="000000"/>
                <w:bdr w:val="none" w:sz="0" w:space="0" w:color="auto" w:frame="1"/>
              </w:rPr>
            </w:pPr>
            <w:r w:rsidRPr="0039275B">
              <w:rPr>
                <w:rFonts w:eastAsia="Times New Roman" w:cstheme="minorHAnsi"/>
                <w:color w:val="000000"/>
                <w:bdr w:val="none" w:sz="0" w:space="0" w:color="auto" w:frame="1"/>
              </w:rPr>
              <w:t>Technology</w:t>
            </w:r>
          </w:p>
        </w:tc>
        <w:tc>
          <w:tcPr>
            <w:tcW w:w="1620" w:type="dxa"/>
            <w:vAlign w:val="center"/>
          </w:tcPr>
          <w:p w14:paraId="50A9C5F0" w14:textId="65D8628D" w:rsidR="003E3FB4" w:rsidRPr="0039275B" w:rsidRDefault="003E3FB4" w:rsidP="00B35B9D">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EQ, CB</w:t>
            </w:r>
          </w:p>
        </w:tc>
        <w:tc>
          <w:tcPr>
            <w:tcW w:w="10940" w:type="dxa"/>
            <w:vAlign w:val="center"/>
          </w:tcPr>
          <w:p w14:paraId="07B85629" w14:textId="63FF8184" w:rsidR="003E3FB4" w:rsidRPr="007428E5" w:rsidRDefault="003E3FB4" w:rsidP="00B35B9D">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Identifies the Technology used within a Sector to produce output, based on asset-level data.</w:t>
            </w:r>
          </w:p>
        </w:tc>
      </w:tr>
      <w:tr w:rsidR="003E3FB4" w:rsidRPr="0039275B" w14:paraId="3A5F2A6B" w14:textId="77777777" w:rsidTr="003E3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F2F2F2"/>
            <w:vAlign w:val="center"/>
          </w:tcPr>
          <w:p w14:paraId="6C82BB7E" w14:textId="19DBA542" w:rsidR="003E3FB4" w:rsidRPr="0039275B" w:rsidRDefault="003E3FB4" w:rsidP="00B35B9D">
            <w:pPr>
              <w:pStyle w:val="BodyText"/>
              <w:rPr>
                <w:rFonts w:eastAsia="Times New Roman" w:cstheme="minorHAnsi"/>
                <w:color w:val="000000"/>
                <w:bdr w:val="none" w:sz="0" w:space="0" w:color="auto" w:frame="1"/>
              </w:rPr>
            </w:pPr>
            <w:r>
              <w:rPr>
                <w:rFonts w:eastAsia="Times New Roman" w:cstheme="minorHAnsi"/>
                <w:color w:val="000000"/>
                <w:bdr w:val="none" w:sz="0" w:space="0" w:color="auto" w:frame="1"/>
              </w:rPr>
              <w:t>Year</w:t>
            </w:r>
          </w:p>
        </w:tc>
        <w:tc>
          <w:tcPr>
            <w:tcW w:w="1620" w:type="dxa"/>
            <w:shd w:val="clear" w:color="auto" w:fill="F2F2F2"/>
            <w:vAlign w:val="center"/>
          </w:tcPr>
          <w:p w14:paraId="6E5FC67C" w14:textId="5736E352" w:rsidR="003E3FB4" w:rsidRPr="0039275B" w:rsidRDefault="003E3FB4" w:rsidP="00B35B9D">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EQ, CB</w:t>
            </w:r>
          </w:p>
        </w:tc>
        <w:tc>
          <w:tcPr>
            <w:tcW w:w="10940" w:type="dxa"/>
            <w:shd w:val="clear" w:color="auto" w:fill="F2F2F2"/>
            <w:vAlign w:val="center"/>
          </w:tcPr>
          <w:p w14:paraId="6B4E6AAC" w14:textId="7DC9F3B9" w:rsidR="003E3FB4" w:rsidRPr="0039275B" w:rsidRDefault="003E3FB4" w:rsidP="00B35B9D">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2019-2024</w:t>
            </w:r>
          </w:p>
        </w:tc>
      </w:tr>
    </w:tbl>
    <w:p w14:paraId="300450B1" w14:textId="413FFC89" w:rsidR="00CB0E5F" w:rsidRDefault="00CB0E5F" w:rsidP="00634034">
      <w:pPr>
        <w:rPr>
          <w:rFonts w:cstheme="minorHAnsi"/>
        </w:rPr>
      </w:pPr>
    </w:p>
    <w:p w14:paraId="0370CE79" w14:textId="70B9B611" w:rsidR="00B020EB" w:rsidRDefault="009E43A1" w:rsidP="00C12BE7">
      <w:pPr>
        <w:pStyle w:val="Heading3"/>
      </w:pPr>
      <w:r>
        <w:lastRenderedPageBreak/>
        <w:t xml:space="preserve">Results </w:t>
      </w:r>
    </w:p>
    <w:p w14:paraId="360F74E1" w14:textId="33A92650" w:rsidR="0056002D" w:rsidRDefault="00CB50EF" w:rsidP="00B020EB">
      <w:pPr>
        <w:rPr>
          <w:rFonts w:cstheme="majorBidi"/>
        </w:rPr>
      </w:pPr>
      <w:r>
        <w:rPr>
          <w:rFonts w:cstheme="majorBidi"/>
        </w:rPr>
        <w:t>T</w:t>
      </w:r>
      <w:r w:rsidR="00386DCA">
        <w:rPr>
          <w:rFonts w:cstheme="majorBidi"/>
        </w:rPr>
        <w:t xml:space="preserve">he results/metrics in </w:t>
      </w:r>
      <w:r w:rsidR="003C7FA9">
        <w:rPr>
          <w:rFonts w:cstheme="majorBidi"/>
        </w:rPr>
        <w:t>these columns</w:t>
      </w:r>
      <w:r w:rsidR="00B020EB">
        <w:rPr>
          <w:rFonts w:cstheme="majorBidi"/>
        </w:rPr>
        <w:t xml:space="preserve"> </w:t>
      </w:r>
      <w:r w:rsidR="001C7C9C">
        <w:rPr>
          <w:rFonts w:cstheme="majorBidi"/>
        </w:rPr>
        <w:t>apply to</w:t>
      </w:r>
      <w:r w:rsidR="00D65093">
        <w:rPr>
          <w:rFonts w:cstheme="majorBidi"/>
        </w:rPr>
        <w:t xml:space="preserve"> the</w:t>
      </w:r>
      <w:r w:rsidR="00CC102C">
        <w:rPr>
          <w:rFonts w:cstheme="majorBidi"/>
        </w:rPr>
        <w:t xml:space="preserve"> specific combination of</w:t>
      </w:r>
      <w:r w:rsidR="00B020EB">
        <w:rPr>
          <w:rFonts w:cstheme="majorBidi"/>
        </w:rPr>
        <w:t xml:space="preserve"> </w:t>
      </w:r>
      <w:r w:rsidR="00EB486A">
        <w:rPr>
          <w:rFonts w:cstheme="majorBidi"/>
        </w:rPr>
        <w:t xml:space="preserve">values in the </w:t>
      </w:r>
      <w:r w:rsidR="00B020EB">
        <w:rPr>
          <w:rFonts w:cstheme="majorBidi"/>
        </w:rPr>
        <w:t>identifier</w:t>
      </w:r>
      <w:r w:rsidR="00EB486A">
        <w:rPr>
          <w:rFonts w:cstheme="majorBidi"/>
        </w:rPr>
        <w:t xml:space="preserve"> </w:t>
      </w:r>
      <w:r w:rsidR="00182C31">
        <w:rPr>
          <w:rFonts w:cstheme="majorBidi"/>
        </w:rPr>
        <w:t>columns</w:t>
      </w:r>
      <w:r w:rsidR="002830E7">
        <w:rPr>
          <w:rFonts w:cstheme="majorBidi"/>
        </w:rPr>
        <w:t xml:space="preserve"> (see previous table)</w:t>
      </w:r>
      <w:r w:rsidR="003E0104">
        <w:rPr>
          <w:rFonts w:cstheme="majorBidi"/>
        </w:rPr>
        <w:t>.</w:t>
      </w:r>
      <w:r w:rsidR="00182C31">
        <w:rPr>
          <w:rFonts w:cstheme="majorBidi"/>
        </w:rPr>
        <w:t xml:space="preserve"> </w:t>
      </w:r>
      <w:r w:rsidR="00EE4068">
        <w:rPr>
          <w:rFonts w:cstheme="majorBidi"/>
        </w:rPr>
        <w:t xml:space="preserve"> </w:t>
      </w:r>
      <w:r w:rsidR="009364E5">
        <w:rPr>
          <w:rFonts w:cstheme="majorBidi"/>
        </w:rPr>
        <w:t xml:space="preserve"> These columns are used by both the Company-Level and Portfolio-level results files.</w:t>
      </w:r>
      <w:r w:rsidR="00913D9F">
        <w:rPr>
          <w:rFonts w:cstheme="majorBidi"/>
        </w:rPr>
        <w:t xml:space="preserve">  </w:t>
      </w:r>
      <w:r w:rsidR="00913D9F" w:rsidRPr="002A111A">
        <w:rPr>
          <w:rFonts w:cstheme="majorBidi"/>
          <w:i/>
        </w:rPr>
        <w:t>(Note: “Deviation” is only in the portfolio results).</w:t>
      </w:r>
    </w:p>
    <w:tbl>
      <w:tblPr>
        <w:tblStyle w:val="PlainTable2"/>
        <w:tblW w:w="0" w:type="auto"/>
        <w:tblLook w:val="04A0" w:firstRow="1" w:lastRow="0" w:firstColumn="1" w:lastColumn="0" w:noHBand="0" w:noVBand="1"/>
      </w:tblPr>
      <w:tblGrid>
        <w:gridCol w:w="2313"/>
        <w:gridCol w:w="4677"/>
        <w:gridCol w:w="2251"/>
        <w:gridCol w:w="4707"/>
      </w:tblGrid>
      <w:tr w:rsidR="007F3FEF" w14:paraId="49AAE33F" w14:textId="77777777" w:rsidTr="00CB0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8" w:type="dxa"/>
            <w:gridSpan w:val="4"/>
            <w:shd w:val="clear" w:color="auto" w:fill="2E2F31"/>
            <w:vAlign w:val="center"/>
          </w:tcPr>
          <w:p w14:paraId="4AEEE3ED" w14:textId="2A2A26FD" w:rsidR="007F3FEF" w:rsidRPr="00BE2A96" w:rsidRDefault="007F3FEF" w:rsidP="00CB0E5F">
            <w:pPr>
              <w:pStyle w:val="BodyText"/>
              <w:rPr>
                <w:b w:val="0"/>
              </w:rPr>
            </w:pPr>
            <w:r w:rsidRPr="00CB0E5F">
              <w:rPr>
                <w:color w:val="FFFFFF" w:themeColor="background1"/>
              </w:rPr>
              <w:t>TECHNOLOGY RESULTS</w:t>
            </w:r>
          </w:p>
        </w:tc>
      </w:tr>
      <w:tr w:rsidR="009549DA" w14:paraId="344F4279" w14:textId="77777777" w:rsidTr="00B47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shd w:val="clear" w:color="auto" w:fill="F2F2F2"/>
            <w:vAlign w:val="center"/>
          </w:tcPr>
          <w:p w14:paraId="3BDCD429" w14:textId="510B50CB" w:rsidR="0056002D" w:rsidRDefault="0056002D" w:rsidP="00CB0E5F">
            <w:pPr>
              <w:pStyle w:val="BodyText"/>
            </w:pPr>
            <w:proofErr w:type="spellStart"/>
            <w:r w:rsidRPr="002A3897">
              <w:rPr>
                <w:rFonts w:eastAsia="Times New Roman" w:cstheme="minorHAnsi"/>
                <w:color w:val="000000"/>
                <w:bdr w:val="none" w:sz="0" w:space="0" w:color="auto" w:frame="1"/>
              </w:rPr>
              <w:t>Plan.TechProd</w:t>
            </w:r>
            <w:proofErr w:type="spellEnd"/>
          </w:p>
        </w:tc>
        <w:tc>
          <w:tcPr>
            <w:tcW w:w="4677" w:type="dxa"/>
            <w:shd w:val="clear" w:color="auto" w:fill="F2F2F2"/>
            <w:vAlign w:val="center"/>
          </w:tcPr>
          <w:p w14:paraId="21C3EE6E" w14:textId="5B37D2F1" w:rsidR="0056002D" w:rsidRDefault="0056002D" w:rsidP="00CB0E5F">
            <w:pPr>
              <w:pStyle w:val="BodyText"/>
              <w:cnfStyle w:val="000000100000" w:firstRow="0" w:lastRow="0" w:firstColumn="0" w:lastColumn="0" w:oddVBand="0" w:evenVBand="0" w:oddHBand="1" w:evenHBand="0" w:firstRowFirstColumn="0" w:firstRowLastColumn="0" w:lastRowFirstColumn="0" w:lastRowLastColumn="0"/>
            </w:pPr>
            <w:r>
              <w:rPr>
                <w:rFonts w:eastAsia="Times New Roman" w:cstheme="minorHAnsi"/>
                <w:color w:val="000000"/>
                <w:bdr w:val="none" w:sz="0" w:space="0" w:color="auto" w:frame="1"/>
                <w:lang w:val="en-AU"/>
              </w:rPr>
              <w:t xml:space="preserve">Technology production when all production from each company is allocated to the portfolio.  </w:t>
            </w:r>
          </w:p>
        </w:tc>
        <w:tc>
          <w:tcPr>
            <w:tcW w:w="2251" w:type="dxa"/>
            <w:shd w:val="clear" w:color="auto" w:fill="F2F2F2"/>
            <w:vAlign w:val="center"/>
          </w:tcPr>
          <w:p w14:paraId="749EBB03" w14:textId="6B5336EB" w:rsidR="0056002D" w:rsidRPr="00CB0E5F" w:rsidRDefault="0056002D" w:rsidP="00CB0E5F">
            <w:pPr>
              <w:pStyle w:val="BodyText"/>
              <w:cnfStyle w:val="000000100000" w:firstRow="0" w:lastRow="0" w:firstColumn="0" w:lastColumn="0" w:oddVBand="0" w:evenVBand="0" w:oddHBand="1" w:evenHBand="0" w:firstRowFirstColumn="0" w:firstRowLastColumn="0" w:lastRowFirstColumn="0" w:lastRowLastColumn="0"/>
              <w:rPr>
                <w:rStyle w:val="Strong"/>
              </w:rPr>
            </w:pPr>
            <w:proofErr w:type="spellStart"/>
            <w:r w:rsidRPr="00CB0E5F">
              <w:rPr>
                <w:rStyle w:val="Strong"/>
              </w:rPr>
              <w:t>Scen.TechProd</w:t>
            </w:r>
            <w:proofErr w:type="spellEnd"/>
          </w:p>
        </w:tc>
        <w:tc>
          <w:tcPr>
            <w:tcW w:w="4707" w:type="dxa"/>
            <w:shd w:val="clear" w:color="auto" w:fill="F2F2F2"/>
            <w:vAlign w:val="center"/>
          </w:tcPr>
          <w:p w14:paraId="0879661E" w14:textId="2623CDD5" w:rsidR="0056002D" w:rsidRDefault="0056002D" w:rsidP="00CB0E5F">
            <w:pPr>
              <w:pStyle w:val="BodyText"/>
              <w:cnfStyle w:val="000000100000" w:firstRow="0" w:lastRow="0" w:firstColumn="0" w:lastColumn="0" w:oddVBand="0" w:evenVBand="0" w:oddHBand="1" w:evenHBand="0" w:firstRowFirstColumn="0" w:firstRowLastColumn="0" w:lastRowFirstColumn="0" w:lastRowLastColumn="0"/>
            </w:pPr>
            <w:r>
              <w:rPr>
                <w:rFonts w:eastAsia="Times New Roman" w:cstheme="minorHAnsi"/>
                <w:color w:val="000000"/>
                <w:bdr w:val="none" w:sz="0" w:space="0" w:color="auto" w:frame="1"/>
                <w:lang w:val="en-AU"/>
              </w:rPr>
              <w:t xml:space="preserve">Technology production consistent with the </w:t>
            </w:r>
            <w:r w:rsidR="005B02A6">
              <w:rPr>
                <w:rFonts w:eastAsia="Times New Roman" w:cstheme="minorHAnsi"/>
                <w:color w:val="000000"/>
                <w:bdr w:val="none" w:sz="0" w:space="0" w:color="auto" w:frame="1"/>
                <w:lang w:val="en-AU"/>
              </w:rPr>
              <w:t>specified</w:t>
            </w:r>
            <w:r>
              <w:rPr>
                <w:rFonts w:eastAsia="Times New Roman" w:cstheme="minorHAnsi"/>
                <w:color w:val="000000"/>
                <w:bdr w:val="none" w:sz="0" w:space="0" w:color="auto" w:frame="1"/>
                <w:lang w:val="en-AU"/>
              </w:rPr>
              <w:t xml:space="preserve"> </w:t>
            </w:r>
            <w:r w:rsidRPr="00BA4B55">
              <w:rPr>
                <w:rFonts w:eastAsia="Times New Roman" w:cstheme="minorHAnsi"/>
                <w:color w:val="000000"/>
                <w:bdr w:val="none" w:sz="0" w:space="0" w:color="auto" w:frame="1"/>
                <w:lang w:val="en-AU"/>
              </w:rPr>
              <w:t>Scenario</w:t>
            </w:r>
            <w:r>
              <w:rPr>
                <w:rFonts w:eastAsia="Times New Roman" w:cstheme="minorHAnsi"/>
                <w:color w:val="000000"/>
                <w:bdr w:val="none" w:sz="0" w:space="0" w:color="auto" w:frame="1"/>
                <w:lang w:val="en-AU"/>
              </w:rPr>
              <w:t xml:space="preserve">, when all production from each company is allocated to the portfolio.  </w:t>
            </w:r>
          </w:p>
        </w:tc>
      </w:tr>
      <w:tr w:rsidR="009549DA" w14:paraId="0A705F43" w14:textId="77777777" w:rsidTr="00CB0E5F">
        <w:tc>
          <w:tcPr>
            <w:cnfStyle w:val="001000000000" w:firstRow="0" w:lastRow="0" w:firstColumn="1" w:lastColumn="0" w:oddVBand="0" w:evenVBand="0" w:oddHBand="0" w:evenHBand="0" w:firstRowFirstColumn="0" w:firstRowLastColumn="0" w:lastRowFirstColumn="0" w:lastRowLastColumn="0"/>
            <w:tcW w:w="2313" w:type="dxa"/>
            <w:vAlign w:val="center"/>
          </w:tcPr>
          <w:p w14:paraId="5FB5F0ED" w14:textId="691FFAC4" w:rsidR="0056002D" w:rsidRDefault="0056002D" w:rsidP="00CB0E5F">
            <w:pPr>
              <w:pStyle w:val="BodyText"/>
            </w:pPr>
            <w:proofErr w:type="spellStart"/>
            <w:proofErr w:type="gramStart"/>
            <w:r w:rsidRPr="002A3897">
              <w:rPr>
                <w:rFonts w:eastAsia="Times New Roman" w:cstheme="minorHAnsi"/>
                <w:color w:val="000000"/>
                <w:bdr w:val="none" w:sz="0" w:space="0" w:color="auto" w:frame="1"/>
              </w:rPr>
              <w:t>Plan.Alloc.WtTechProd</w:t>
            </w:r>
            <w:proofErr w:type="spellEnd"/>
            <w:proofErr w:type="gramEnd"/>
          </w:p>
        </w:tc>
        <w:tc>
          <w:tcPr>
            <w:tcW w:w="4677" w:type="dxa"/>
            <w:vAlign w:val="center"/>
          </w:tcPr>
          <w:p w14:paraId="4D076AAF" w14:textId="682EAC73" w:rsidR="009D17FA" w:rsidRPr="009E06AD" w:rsidRDefault="0056002D" w:rsidP="00CB0E5F">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rPr>
            </w:pPr>
            <w:r w:rsidRPr="009E06AD">
              <w:rPr>
                <w:rFonts w:eastAsia="Times New Roman" w:cstheme="minorHAnsi"/>
                <w:color w:val="000000"/>
                <w:bdr w:val="none" w:sz="0" w:space="0" w:color="auto" w:frame="1"/>
              </w:rPr>
              <w:t xml:space="preserve">Technology production allocated to the portfolio based on the </w:t>
            </w:r>
            <w:r w:rsidR="00CE0612">
              <w:rPr>
                <w:rFonts w:eastAsia="Times New Roman" w:cstheme="minorHAnsi"/>
                <w:color w:val="000000"/>
                <w:bdr w:val="none" w:sz="0" w:space="0" w:color="auto" w:frame="1"/>
              </w:rPr>
              <w:t xml:space="preserve">either </w:t>
            </w:r>
            <w:r w:rsidR="0062072E">
              <w:rPr>
                <w:rFonts w:eastAsia="Times New Roman" w:cstheme="minorHAnsi"/>
                <w:color w:val="000000"/>
                <w:bdr w:val="none" w:sz="0" w:space="0" w:color="auto" w:frame="1"/>
              </w:rPr>
              <w:t xml:space="preserve">the </w:t>
            </w:r>
            <w:r w:rsidRPr="009E06AD">
              <w:rPr>
                <w:rFonts w:eastAsia="Times New Roman" w:cstheme="minorHAnsi"/>
                <w:color w:val="000000"/>
                <w:bdr w:val="none" w:sz="0" w:space="0" w:color="auto" w:frame="1"/>
              </w:rPr>
              <w:t>weight of each company in the portfolio (</w:t>
            </w:r>
            <w:proofErr w:type="spellStart"/>
            <w:r w:rsidRPr="009E06AD">
              <w:rPr>
                <w:rFonts w:eastAsia="Times New Roman" w:cstheme="minorHAnsi"/>
                <w:color w:val="000000"/>
                <w:bdr w:val="none" w:sz="0" w:space="0" w:color="auto" w:frame="1"/>
              </w:rPr>
              <w:t>PortWeight</w:t>
            </w:r>
            <w:proofErr w:type="spellEnd"/>
            <w:r w:rsidRPr="009E06AD">
              <w:rPr>
                <w:rFonts w:eastAsia="Times New Roman" w:cstheme="minorHAnsi"/>
                <w:color w:val="000000"/>
                <w:bdr w:val="none" w:sz="0" w:space="0" w:color="auto" w:frame="1"/>
              </w:rPr>
              <w:t xml:space="preserve"> method) or the percent of the company that the portfolio owns (Ownership method).</w:t>
            </w:r>
            <w:r w:rsidR="00BA2925">
              <w:rPr>
                <w:rFonts w:eastAsia="Times New Roman" w:cstheme="minorHAnsi"/>
                <w:color w:val="000000"/>
                <w:bdr w:val="none" w:sz="0" w:space="0" w:color="auto" w:frame="1"/>
              </w:rPr>
              <w:br/>
            </w:r>
          </w:p>
          <w:p w14:paraId="61E88D30" w14:textId="0F41B573" w:rsidR="0056002D" w:rsidRPr="003E3FB4" w:rsidRDefault="0056002D" w:rsidP="00CB0E5F">
            <w:pPr>
              <w:pStyle w:val="BodyText"/>
              <w:cnfStyle w:val="000000000000" w:firstRow="0" w:lastRow="0" w:firstColumn="0" w:lastColumn="0" w:oddVBand="0" w:evenVBand="0" w:oddHBand="0" w:evenHBand="0" w:firstRowFirstColumn="0" w:firstRowLastColumn="0" w:lastRowFirstColumn="0" w:lastRowLastColumn="0"/>
              <w:rPr>
                <w:rFonts w:cstheme="minorHAnsi"/>
              </w:rPr>
            </w:pPr>
            <w:r w:rsidRPr="009E06AD">
              <w:rPr>
                <w:rFonts w:eastAsia="Times New Roman" w:cstheme="minorHAnsi"/>
                <w:color w:val="000000"/>
                <w:bdr w:val="none" w:sz="0" w:space="0" w:color="auto" w:frame="1"/>
              </w:rPr>
              <w:t xml:space="preserve">This is equal to </w:t>
            </w:r>
            <w:proofErr w:type="spellStart"/>
            <w:r w:rsidRPr="00CB0E5F">
              <w:rPr>
                <w:rStyle w:val="Strong"/>
              </w:rPr>
              <w:t>Allocation.Wt</w:t>
            </w:r>
            <w:proofErr w:type="spellEnd"/>
            <w:r w:rsidRPr="00CB0E5F">
              <w:rPr>
                <w:rStyle w:val="Strong"/>
              </w:rPr>
              <w:t xml:space="preserve"> * </w:t>
            </w:r>
            <w:proofErr w:type="spellStart"/>
            <w:r w:rsidRPr="00CB0E5F">
              <w:rPr>
                <w:rStyle w:val="Strong"/>
              </w:rPr>
              <w:t>Plan.TechProd</w:t>
            </w:r>
            <w:proofErr w:type="spellEnd"/>
            <w:r w:rsidR="003E3FB4">
              <w:rPr>
                <w:rStyle w:val="Strong"/>
              </w:rPr>
              <w:t xml:space="preserve"> </w:t>
            </w:r>
            <w:r w:rsidR="003E3FB4">
              <w:rPr>
                <w:rStyle w:val="Strong"/>
                <w:b w:val="0"/>
                <w:bCs w:val="0"/>
              </w:rPr>
              <w:t>(aggregated up to the portfolio level)</w:t>
            </w:r>
          </w:p>
        </w:tc>
        <w:tc>
          <w:tcPr>
            <w:tcW w:w="2251" w:type="dxa"/>
            <w:vAlign w:val="center"/>
          </w:tcPr>
          <w:p w14:paraId="317D4327" w14:textId="1BD237CF" w:rsidR="0056002D" w:rsidRPr="00CB0E5F" w:rsidRDefault="0056002D" w:rsidP="00CB0E5F">
            <w:pPr>
              <w:pStyle w:val="BodyText"/>
              <w:cnfStyle w:val="000000000000" w:firstRow="0" w:lastRow="0" w:firstColumn="0" w:lastColumn="0" w:oddVBand="0" w:evenVBand="0" w:oddHBand="0" w:evenHBand="0" w:firstRowFirstColumn="0" w:firstRowLastColumn="0" w:lastRowFirstColumn="0" w:lastRowLastColumn="0"/>
              <w:rPr>
                <w:rStyle w:val="Strong"/>
              </w:rPr>
            </w:pPr>
            <w:proofErr w:type="spellStart"/>
            <w:proofErr w:type="gramStart"/>
            <w:r w:rsidRPr="00CB0E5F">
              <w:rPr>
                <w:rStyle w:val="Strong"/>
              </w:rPr>
              <w:t>Scen.Alloc.WtTechProd</w:t>
            </w:r>
            <w:proofErr w:type="spellEnd"/>
            <w:proofErr w:type="gramEnd"/>
          </w:p>
        </w:tc>
        <w:tc>
          <w:tcPr>
            <w:tcW w:w="4707" w:type="dxa"/>
            <w:vAlign w:val="center"/>
          </w:tcPr>
          <w:p w14:paraId="67AE30BF" w14:textId="77777777" w:rsidR="00DB4605" w:rsidRDefault="0056002D" w:rsidP="00CB0E5F">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rPr>
            </w:pPr>
            <w:r>
              <w:rPr>
                <w:rFonts w:eastAsia="Times New Roman" w:cstheme="minorHAnsi"/>
                <w:color w:val="000000"/>
                <w:bdr w:val="none" w:sz="0" w:space="0" w:color="auto" w:frame="1"/>
              </w:rPr>
              <w:t xml:space="preserve">Technology production consistent with the </w:t>
            </w:r>
            <w:r w:rsidR="00AD7AE3">
              <w:rPr>
                <w:rFonts w:eastAsia="Times New Roman" w:cstheme="minorHAnsi"/>
                <w:color w:val="000000"/>
                <w:bdr w:val="none" w:sz="0" w:space="0" w:color="auto" w:frame="1"/>
              </w:rPr>
              <w:t>specified</w:t>
            </w:r>
            <w:r>
              <w:rPr>
                <w:rFonts w:eastAsia="Times New Roman" w:cstheme="minorHAnsi"/>
                <w:color w:val="000000"/>
                <w:bdr w:val="none" w:sz="0" w:space="0" w:color="auto" w:frame="1"/>
              </w:rPr>
              <w:t xml:space="preserve"> </w:t>
            </w:r>
          </w:p>
          <w:p w14:paraId="6BD32BB2" w14:textId="77777777" w:rsidR="00CB0E5F" w:rsidRDefault="0056002D" w:rsidP="00CB0E5F">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rPr>
            </w:pPr>
            <w:r w:rsidRPr="00AD7AE3">
              <w:rPr>
                <w:rFonts w:eastAsia="Times New Roman" w:cstheme="minorHAnsi"/>
                <w:color w:val="000000"/>
                <w:bdr w:val="none" w:sz="0" w:space="0" w:color="auto" w:frame="1"/>
              </w:rPr>
              <w:t>Scenario</w:t>
            </w:r>
            <w:r>
              <w:rPr>
                <w:rFonts w:eastAsia="Times New Roman" w:cstheme="minorHAnsi"/>
                <w:color w:val="000000"/>
                <w:bdr w:val="none" w:sz="0" w:space="0" w:color="auto" w:frame="1"/>
              </w:rPr>
              <w:t xml:space="preserve">, </w:t>
            </w:r>
            <w:r w:rsidR="005B02A6">
              <w:rPr>
                <w:rFonts w:eastAsia="Times New Roman" w:cstheme="minorHAnsi"/>
                <w:color w:val="000000"/>
                <w:bdr w:val="none" w:sz="0" w:space="0" w:color="auto" w:frame="1"/>
              </w:rPr>
              <w:t xml:space="preserve">and </w:t>
            </w:r>
            <w:r>
              <w:rPr>
                <w:rFonts w:eastAsia="Times New Roman" w:cstheme="minorHAnsi"/>
                <w:color w:val="000000"/>
                <w:bdr w:val="none" w:sz="0" w:space="0" w:color="auto" w:frame="1"/>
              </w:rPr>
              <w:t xml:space="preserve">allocated to the portfolio based on </w:t>
            </w:r>
            <w:r w:rsidR="005B02A6">
              <w:rPr>
                <w:rFonts w:eastAsia="Times New Roman" w:cstheme="minorHAnsi"/>
                <w:color w:val="000000"/>
                <w:bdr w:val="none" w:sz="0" w:space="0" w:color="auto" w:frame="1"/>
              </w:rPr>
              <w:t xml:space="preserve">either </w:t>
            </w:r>
            <w:r>
              <w:rPr>
                <w:rFonts w:eastAsia="Times New Roman" w:cstheme="minorHAnsi"/>
                <w:color w:val="000000"/>
                <w:bdr w:val="none" w:sz="0" w:space="0" w:color="auto" w:frame="1"/>
              </w:rPr>
              <w:t>the weight of each company in the portfolio (</w:t>
            </w:r>
            <w:proofErr w:type="spellStart"/>
            <w:r>
              <w:rPr>
                <w:rFonts w:eastAsia="Times New Roman" w:cstheme="minorHAnsi"/>
                <w:color w:val="000000"/>
                <w:bdr w:val="none" w:sz="0" w:space="0" w:color="auto" w:frame="1"/>
              </w:rPr>
              <w:t>PortWeight</w:t>
            </w:r>
            <w:proofErr w:type="spellEnd"/>
            <w:r>
              <w:rPr>
                <w:rFonts w:eastAsia="Times New Roman" w:cstheme="minorHAnsi"/>
                <w:color w:val="000000"/>
                <w:bdr w:val="none" w:sz="0" w:space="0" w:color="auto" w:frame="1"/>
              </w:rPr>
              <w:t xml:space="preserve"> method) or the percent of the company that the portfolio owns (Ownership method).</w:t>
            </w:r>
            <w:r w:rsidR="00CB0E5F">
              <w:rPr>
                <w:rFonts w:eastAsia="Times New Roman" w:cstheme="minorHAnsi"/>
                <w:color w:val="000000"/>
                <w:bdr w:val="none" w:sz="0" w:space="0" w:color="auto" w:frame="1"/>
              </w:rPr>
              <w:t xml:space="preserve"> </w:t>
            </w:r>
          </w:p>
          <w:p w14:paraId="2D860B68" w14:textId="5B5941DD" w:rsidR="0056002D" w:rsidRPr="00CB0E5F" w:rsidRDefault="0056002D" w:rsidP="00CB0E5F">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rPr>
            </w:pPr>
            <w:r>
              <w:rPr>
                <w:rFonts w:eastAsia="Times New Roman" w:cstheme="minorHAnsi"/>
                <w:color w:val="000000"/>
                <w:bdr w:val="none" w:sz="0" w:space="0" w:color="auto" w:frame="1"/>
              </w:rPr>
              <w:t xml:space="preserve">This is equal to </w:t>
            </w:r>
            <w:proofErr w:type="spellStart"/>
            <w:r w:rsidRPr="00CB0E5F">
              <w:rPr>
                <w:rStyle w:val="Strong"/>
              </w:rPr>
              <w:t>Allocation.Wt</w:t>
            </w:r>
            <w:proofErr w:type="spellEnd"/>
            <w:r w:rsidRPr="00CB0E5F">
              <w:rPr>
                <w:rStyle w:val="Strong"/>
              </w:rPr>
              <w:t xml:space="preserve"> * </w:t>
            </w:r>
            <w:proofErr w:type="spellStart"/>
            <w:r w:rsidRPr="00CB0E5F">
              <w:rPr>
                <w:rStyle w:val="Strong"/>
              </w:rPr>
              <w:t>Scen.TechProd</w:t>
            </w:r>
            <w:proofErr w:type="spellEnd"/>
            <w:r w:rsidR="003E3FB4">
              <w:rPr>
                <w:rStyle w:val="Strong"/>
              </w:rPr>
              <w:t xml:space="preserve"> </w:t>
            </w:r>
            <w:r w:rsidR="003E3FB4">
              <w:rPr>
                <w:rStyle w:val="Strong"/>
                <w:b w:val="0"/>
                <w:bCs w:val="0"/>
              </w:rPr>
              <w:t>(aggregated up to the portfolio level)</w:t>
            </w:r>
          </w:p>
        </w:tc>
      </w:tr>
      <w:tr w:rsidR="00195CE0" w14:paraId="2BAB76F9" w14:textId="77777777" w:rsidTr="00B47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shd w:val="clear" w:color="auto" w:fill="F2F2F2"/>
            <w:vAlign w:val="center"/>
          </w:tcPr>
          <w:p w14:paraId="00285FCA" w14:textId="5F345612" w:rsidR="002757A3" w:rsidRPr="002A3897" w:rsidRDefault="002757A3" w:rsidP="00CB0E5F">
            <w:pPr>
              <w:pStyle w:val="BodyText"/>
              <w:rPr>
                <w:rFonts w:eastAsia="Times New Roman" w:cstheme="minorHAnsi"/>
                <w:b w:val="0"/>
                <w:color w:val="000000"/>
                <w:bdr w:val="none" w:sz="0" w:space="0" w:color="auto" w:frame="1"/>
              </w:rPr>
            </w:pPr>
            <w:proofErr w:type="spellStart"/>
            <w:r>
              <w:rPr>
                <w:rFonts w:eastAsia="Times New Roman" w:cstheme="minorHAnsi"/>
                <w:color w:val="000000"/>
                <w:bdr w:val="none" w:sz="0" w:space="0" w:color="auto" w:frame="1"/>
              </w:rPr>
              <w:t>Plan.Carsten</w:t>
            </w:r>
            <w:proofErr w:type="spellEnd"/>
          </w:p>
        </w:tc>
        <w:tc>
          <w:tcPr>
            <w:tcW w:w="4677" w:type="dxa"/>
            <w:shd w:val="clear" w:color="auto" w:fill="F2F2F2"/>
            <w:vAlign w:val="center"/>
          </w:tcPr>
          <w:p w14:paraId="4D466B6C" w14:textId="3872AB96" w:rsidR="009D17FA" w:rsidRDefault="002757A3" w:rsidP="00CB0E5F">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 xml:space="preserve">Under the </w:t>
            </w:r>
            <w:proofErr w:type="spellStart"/>
            <w:r>
              <w:rPr>
                <w:rFonts w:eastAsia="Times New Roman" w:cstheme="minorHAnsi"/>
                <w:color w:val="000000"/>
                <w:bdr w:val="none" w:sz="0" w:space="0" w:color="auto" w:frame="1"/>
                <w:lang w:val="en-AU"/>
              </w:rPr>
              <w:t>PortWeight</w:t>
            </w:r>
            <w:proofErr w:type="spellEnd"/>
            <w:r>
              <w:rPr>
                <w:rFonts w:eastAsia="Times New Roman" w:cstheme="minorHAnsi"/>
                <w:color w:val="000000"/>
                <w:bdr w:val="none" w:sz="0" w:space="0" w:color="auto" w:frame="1"/>
                <w:lang w:val="en-AU"/>
              </w:rPr>
              <w:t xml:space="preserve"> allocation method, this is the percent of portfolio market value exposed </w:t>
            </w:r>
            <w:r w:rsidR="0022610B">
              <w:rPr>
                <w:rFonts w:eastAsia="Times New Roman" w:cstheme="minorHAnsi"/>
                <w:color w:val="000000"/>
                <w:bdr w:val="none" w:sz="0" w:space="0" w:color="auto" w:frame="1"/>
                <w:lang w:val="en-AU"/>
              </w:rPr>
              <w:t xml:space="preserve">production in </w:t>
            </w:r>
            <w:r>
              <w:rPr>
                <w:rFonts w:eastAsia="Times New Roman" w:cstheme="minorHAnsi"/>
                <w:color w:val="000000"/>
                <w:bdr w:val="none" w:sz="0" w:space="0" w:color="auto" w:frame="1"/>
                <w:lang w:val="en-AU"/>
              </w:rPr>
              <w:t xml:space="preserve">the </w:t>
            </w:r>
            <w:r w:rsidR="00D6567B">
              <w:rPr>
                <w:rFonts w:eastAsia="Times New Roman" w:cstheme="minorHAnsi"/>
                <w:color w:val="000000"/>
                <w:bdr w:val="none" w:sz="0" w:space="0" w:color="auto" w:frame="1"/>
                <w:lang w:val="en-AU"/>
              </w:rPr>
              <w:t>specified</w:t>
            </w:r>
            <w:r>
              <w:rPr>
                <w:rFonts w:eastAsia="Times New Roman" w:cstheme="minorHAnsi"/>
                <w:color w:val="000000"/>
                <w:bdr w:val="none" w:sz="0" w:space="0" w:color="auto" w:frame="1"/>
                <w:lang w:val="en-AU"/>
              </w:rPr>
              <w:t xml:space="preserve"> </w:t>
            </w:r>
            <w:r w:rsidRPr="00D6567B">
              <w:rPr>
                <w:rFonts w:eastAsia="Times New Roman" w:cstheme="minorHAnsi"/>
                <w:color w:val="000000"/>
                <w:bdr w:val="none" w:sz="0" w:space="0" w:color="auto" w:frame="1"/>
                <w:lang w:val="en-AU"/>
              </w:rPr>
              <w:t>Technology</w:t>
            </w:r>
            <w:r>
              <w:rPr>
                <w:rFonts w:eastAsia="Times New Roman" w:cstheme="minorHAnsi"/>
                <w:color w:val="000000"/>
                <w:bdr w:val="none" w:sz="0" w:space="0" w:color="auto" w:frame="1"/>
                <w:lang w:val="en-AU"/>
              </w:rPr>
              <w:t>.</w:t>
            </w:r>
            <w:r>
              <w:rPr>
                <w:rFonts w:eastAsia="Times New Roman" w:cstheme="minorHAnsi"/>
                <w:color w:val="000000"/>
                <w:bdr w:val="none" w:sz="0" w:space="0" w:color="auto" w:frame="1"/>
                <w:lang w:val="en-AU"/>
              </w:rPr>
              <w:br/>
            </w:r>
          </w:p>
          <w:p w14:paraId="27EF793D" w14:textId="255A1624" w:rsidR="002757A3" w:rsidRDefault="002757A3" w:rsidP="00CB0E5F">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rPr>
            </w:pPr>
            <w:r>
              <w:rPr>
                <w:rFonts w:eastAsia="Times New Roman" w:cstheme="minorHAnsi"/>
                <w:color w:val="000000"/>
                <w:bdr w:val="none" w:sz="0" w:space="0" w:color="auto" w:frame="1"/>
                <w:lang w:val="en-AU"/>
              </w:rPr>
              <w:t xml:space="preserve">Not calculated under the Ownership allocation method.  </w:t>
            </w:r>
          </w:p>
        </w:tc>
        <w:tc>
          <w:tcPr>
            <w:tcW w:w="2251" w:type="dxa"/>
            <w:shd w:val="clear" w:color="auto" w:fill="F2F2F2"/>
            <w:vAlign w:val="center"/>
          </w:tcPr>
          <w:p w14:paraId="290ADD20" w14:textId="6B69E41F" w:rsidR="002757A3" w:rsidRPr="00CB0E5F" w:rsidRDefault="00EA15BD" w:rsidP="00CB0E5F">
            <w:pPr>
              <w:pStyle w:val="BodyText"/>
              <w:cnfStyle w:val="000000100000" w:firstRow="0" w:lastRow="0" w:firstColumn="0" w:lastColumn="0" w:oddVBand="0" w:evenVBand="0" w:oddHBand="1" w:evenHBand="0" w:firstRowFirstColumn="0" w:firstRowLastColumn="0" w:lastRowFirstColumn="0" w:lastRowLastColumn="0"/>
              <w:rPr>
                <w:rStyle w:val="Strong"/>
              </w:rPr>
            </w:pPr>
            <w:proofErr w:type="spellStart"/>
            <w:r w:rsidRPr="00CB0E5F">
              <w:rPr>
                <w:rStyle w:val="Strong"/>
              </w:rPr>
              <w:t>Scen.Carsten</w:t>
            </w:r>
            <w:proofErr w:type="spellEnd"/>
          </w:p>
        </w:tc>
        <w:tc>
          <w:tcPr>
            <w:tcW w:w="4707" w:type="dxa"/>
            <w:shd w:val="clear" w:color="auto" w:fill="F2F2F2"/>
            <w:vAlign w:val="center"/>
          </w:tcPr>
          <w:p w14:paraId="195C69F9" w14:textId="19CEBBDE" w:rsidR="00DD1B06" w:rsidRDefault="00EA15BD" w:rsidP="00CB0E5F">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 xml:space="preserve">Under </w:t>
            </w:r>
            <w:proofErr w:type="spellStart"/>
            <w:r>
              <w:rPr>
                <w:rFonts w:eastAsia="Times New Roman" w:cstheme="minorHAnsi"/>
                <w:color w:val="000000"/>
                <w:bdr w:val="none" w:sz="0" w:space="0" w:color="auto" w:frame="1"/>
                <w:lang w:val="en-AU"/>
              </w:rPr>
              <w:t>PortWeight</w:t>
            </w:r>
            <w:proofErr w:type="spellEnd"/>
            <w:r>
              <w:rPr>
                <w:rFonts w:eastAsia="Times New Roman" w:cstheme="minorHAnsi"/>
                <w:color w:val="000000"/>
                <w:bdr w:val="none" w:sz="0" w:space="0" w:color="auto" w:frame="1"/>
                <w:lang w:val="en-AU"/>
              </w:rPr>
              <w:t xml:space="preserve"> allocation method, this is the percent of portfolio market value exposed to </w:t>
            </w:r>
            <w:r w:rsidR="00D6567B">
              <w:rPr>
                <w:rFonts w:eastAsia="Times New Roman" w:cstheme="minorHAnsi"/>
                <w:color w:val="000000"/>
                <w:bdr w:val="none" w:sz="0" w:space="0" w:color="auto" w:frame="1"/>
                <w:lang w:val="en-AU"/>
              </w:rPr>
              <w:t xml:space="preserve">production in </w:t>
            </w:r>
            <w:r>
              <w:rPr>
                <w:rFonts w:eastAsia="Times New Roman" w:cstheme="minorHAnsi"/>
                <w:color w:val="000000"/>
                <w:bdr w:val="none" w:sz="0" w:space="0" w:color="auto" w:frame="1"/>
                <w:lang w:val="en-AU"/>
              </w:rPr>
              <w:t xml:space="preserve">the </w:t>
            </w:r>
            <w:r w:rsidR="00D6567B">
              <w:rPr>
                <w:rFonts w:eastAsia="Times New Roman" w:cstheme="minorHAnsi"/>
                <w:color w:val="000000"/>
                <w:bdr w:val="none" w:sz="0" w:space="0" w:color="auto" w:frame="1"/>
                <w:lang w:val="en-AU"/>
              </w:rPr>
              <w:t xml:space="preserve">specified </w:t>
            </w:r>
            <w:r w:rsidRPr="00CB0E5F">
              <w:rPr>
                <w:rStyle w:val="Strong"/>
              </w:rPr>
              <w:t>Technology</w:t>
            </w:r>
            <w:r>
              <w:rPr>
                <w:rFonts w:eastAsia="Times New Roman" w:cstheme="minorHAnsi"/>
                <w:color w:val="000000"/>
                <w:bdr w:val="none" w:sz="0" w:space="0" w:color="auto" w:frame="1"/>
                <w:lang w:val="en-AU"/>
              </w:rPr>
              <w:t xml:space="preserve"> consistent with the </w:t>
            </w:r>
            <w:r w:rsidR="00BD1DF3">
              <w:rPr>
                <w:rFonts w:eastAsia="Times New Roman" w:cstheme="minorHAnsi"/>
                <w:color w:val="000000"/>
                <w:bdr w:val="none" w:sz="0" w:space="0" w:color="auto" w:frame="1"/>
                <w:lang w:val="en-AU"/>
              </w:rPr>
              <w:t>specified</w:t>
            </w:r>
            <w:r>
              <w:rPr>
                <w:rFonts w:eastAsia="Times New Roman" w:cstheme="minorHAnsi"/>
                <w:color w:val="000000"/>
                <w:bdr w:val="none" w:sz="0" w:space="0" w:color="auto" w:frame="1"/>
                <w:lang w:val="en-AU"/>
              </w:rPr>
              <w:t xml:space="preserve"> </w:t>
            </w:r>
            <w:r w:rsidRPr="00CB0E5F">
              <w:rPr>
                <w:rStyle w:val="Strong"/>
              </w:rPr>
              <w:t>Scenario</w:t>
            </w:r>
            <w:r w:rsidRPr="00D6567B">
              <w:rPr>
                <w:rFonts w:eastAsia="Times New Roman" w:cstheme="minorHAnsi"/>
                <w:color w:val="000000"/>
                <w:bdr w:val="none" w:sz="0" w:space="0" w:color="auto" w:frame="1"/>
                <w:lang w:val="en-AU"/>
              </w:rPr>
              <w:t>.</w:t>
            </w:r>
          </w:p>
          <w:p w14:paraId="20D1CCD3" w14:textId="59291D78" w:rsidR="002757A3" w:rsidRDefault="00EA15BD" w:rsidP="00CB0E5F">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rPr>
            </w:pPr>
            <w:r>
              <w:rPr>
                <w:rFonts w:eastAsia="Times New Roman" w:cstheme="minorHAnsi"/>
                <w:color w:val="000000"/>
                <w:bdr w:val="none" w:sz="0" w:space="0" w:color="auto" w:frame="1"/>
                <w:lang w:val="en-AU"/>
              </w:rPr>
              <w:t xml:space="preserve">Not calculated under the Ownership allocation method.  </w:t>
            </w:r>
          </w:p>
        </w:tc>
      </w:tr>
      <w:tr w:rsidR="00DD1B06" w14:paraId="13885A17" w14:textId="77777777" w:rsidTr="00CB0E5F">
        <w:tc>
          <w:tcPr>
            <w:cnfStyle w:val="001000000000" w:firstRow="0" w:lastRow="0" w:firstColumn="1" w:lastColumn="0" w:oddVBand="0" w:evenVBand="0" w:oddHBand="0" w:evenHBand="0" w:firstRowFirstColumn="0" w:firstRowLastColumn="0" w:lastRowFirstColumn="0" w:lastRowLastColumn="0"/>
            <w:tcW w:w="2313" w:type="dxa"/>
            <w:vAlign w:val="center"/>
          </w:tcPr>
          <w:p w14:paraId="192F255C" w14:textId="593B4CF1" w:rsidR="00DD1B06" w:rsidRDefault="00DD1B06" w:rsidP="00CB0E5F">
            <w:pPr>
              <w:pStyle w:val="BodyText"/>
              <w:rPr>
                <w:rFonts w:eastAsia="Times New Roman" w:cstheme="minorHAnsi"/>
                <w:b w:val="0"/>
                <w:color w:val="000000"/>
                <w:bdr w:val="none" w:sz="0" w:space="0" w:color="auto" w:frame="1"/>
              </w:rPr>
            </w:pPr>
            <w:proofErr w:type="spellStart"/>
            <w:r w:rsidRPr="002A3897">
              <w:rPr>
                <w:rFonts w:eastAsia="Times New Roman" w:cstheme="minorHAnsi"/>
                <w:color w:val="000000"/>
                <w:bdr w:val="none" w:sz="0" w:space="0" w:color="auto" w:frame="1"/>
              </w:rPr>
              <w:t>Plan.EmissionsFactor</w:t>
            </w:r>
            <w:proofErr w:type="spellEnd"/>
          </w:p>
        </w:tc>
        <w:tc>
          <w:tcPr>
            <w:tcW w:w="4677" w:type="dxa"/>
            <w:vAlign w:val="center"/>
          </w:tcPr>
          <w:p w14:paraId="2D9C47F2" w14:textId="4FEC491F" w:rsidR="00DD1B06" w:rsidRDefault="00DD1B06" w:rsidP="00CB0E5F">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sidRPr="0039275B">
              <w:rPr>
                <w:rFonts w:eastAsia="Times New Roman" w:cstheme="minorHAnsi"/>
                <w:color w:val="000000"/>
                <w:bdr w:val="none" w:sz="0" w:space="0" w:color="auto" w:frame="1"/>
                <w:lang w:val="en-AU"/>
              </w:rPr>
              <w:t>Emissions Factor in CO2/production units for each technology</w:t>
            </w:r>
            <w:r w:rsidR="00B47710">
              <w:rPr>
                <w:rFonts w:eastAsia="Times New Roman" w:cstheme="minorHAnsi"/>
                <w:color w:val="000000"/>
                <w:bdr w:val="none" w:sz="0" w:space="0" w:color="auto" w:frame="1"/>
                <w:lang w:val="en-AU"/>
              </w:rPr>
              <w:t>.</w:t>
            </w:r>
          </w:p>
          <w:p w14:paraId="40B908DF" w14:textId="68CE94D5" w:rsidR="00DD1B06" w:rsidRDefault="002A6F3B" w:rsidP="00CB0E5F">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br/>
            </w:r>
            <w:r w:rsidR="00DD1B06">
              <w:rPr>
                <w:rFonts w:eastAsia="Times New Roman" w:cstheme="minorHAnsi"/>
                <w:color w:val="000000"/>
                <w:bdr w:val="none" w:sz="0" w:space="0" w:color="auto" w:frame="1"/>
                <w:lang w:val="en-AU"/>
              </w:rPr>
              <w:t xml:space="preserve">Only provided for </w:t>
            </w:r>
            <w:r w:rsidR="00DD1B06" w:rsidRPr="0039275B">
              <w:rPr>
                <w:rFonts w:eastAsia="Times New Roman" w:cstheme="minorHAnsi"/>
                <w:color w:val="000000"/>
                <w:bdr w:val="none" w:sz="0" w:space="0" w:color="auto" w:frame="1"/>
                <w:lang w:val="en-AU"/>
              </w:rPr>
              <w:t>cement, steel and aviation sectors</w:t>
            </w:r>
            <w:r w:rsidR="00DD1B06">
              <w:rPr>
                <w:rFonts w:eastAsia="Times New Roman" w:cstheme="minorHAnsi"/>
                <w:color w:val="000000"/>
                <w:bdr w:val="none" w:sz="0" w:space="0" w:color="auto" w:frame="1"/>
                <w:lang w:val="en-AU"/>
              </w:rPr>
              <w:t>.</w:t>
            </w:r>
          </w:p>
        </w:tc>
        <w:tc>
          <w:tcPr>
            <w:tcW w:w="2251" w:type="dxa"/>
            <w:vAlign w:val="center"/>
          </w:tcPr>
          <w:p w14:paraId="159633AC" w14:textId="38D1AE3B" w:rsidR="00DD1B06" w:rsidRPr="00B47710" w:rsidRDefault="00DD1B06" w:rsidP="00CB0E5F">
            <w:pPr>
              <w:pStyle w:val="BodyText"/>
              <w:cnfStyle w:val="000000000000" w:firstRow="0" w:lastRow="0" w:firstColumn="0" w:lastColumn="0" w:oddVBand="0" w:evenVBand="0" w:oddHBand="0" w:evenHBand="0" w:firstRowFirstColumn="0" w:firstRowLastColumn="0" w:lastRowFirstColumn="0" w:lastRowLastColumn="0"/>
              <w:rPr>
                <w:rStyle w:val="Strong"/>
              </w:rPr>
            </w:pPr>
            <w:proofErr w:type="spellStart"/>
            <w:r w:rsidRPr="00B47710">
              <w:rPr>
                <w:rStyle w:val="Strong"/>
              </w:rPr>
              <w:t>Scen.EmissionsFactor</w:t>
            </w:r>
            <w:proofErr w:type="spellEnd"/>
          </w:p>
        </w:tc>
        <w:tc>
          <w:tcPr>
            <w:tcW w:w="4707" w:type="dxa"/>
            <w:vAlign w:val="center"/>
          </w:tcPr>
          <w:p w14:paraId="776C6106" w14:textId="77777777" w:rsidR="001B3079" w:rsidRDefault="00DD1B06" w:rsidP="00CB0E5F">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sidRPr="0039275B">
              <w:rPr>
                <w:rFonts w:eastAsia="Times New Roman" w:cstheme="minorHAnsi"/>
                <w:color w:val="000000"/>
                <w:bdr w:val="none" w:sz="0" w:space="0" w:color="auto" w:frame="1"/>
                <w:lang w:val="en-AU"/>
              </w:rPr>
              <w:t xml:space="preserve">Emissions Factor </w:t>
            </w:r>
            <w:r>
              <w:rPr>
                <w:rFonts w:eastAsia="Times New Roman" w:cstheme="minorHAnsi"/>
                <w:color w:val="000000"/>
                <w:bdr w:val="none" w:sz="0" w:space="0" w:color="auto" w:frame="1"/>
                <w:lang w:val="en-AU"/>
              </w:rPr>
              <w:t>consistent with</w:t>
            </w:r>
            <w:r w:rsidRPr="0039275B">
              <w:rPr>
                <w:rFonts w:eastAsia="Times New Roman" w:cstheme="minorHAnsi"/>
                <w:color w:val="000000"/>
                <w:bdr w:val="none" w:sz="0" w:space="0" w:color="auto" w:frame="1"/>
                <w:lang w:val="en-AU"/>
              </w:rPr>
              <w:t xml:space="preserve"> the given </w:t>
            </w:r>
            <w:r w:rsidR="00BD1DF3" w:rsidRPr="00B47710">
              <w:rPr>
                <w:rStyle w:val="Strong"/>
              </w:rPr>
              <w:t>S</w:t>
            </w:r>
            <w:r w:rsidRPr="00B47710">
              <w:rPr>
                <w:rStyle w:val="Strong"/>
              </w:rPr>
              <w:t>cenario</w:t>
            </w:r>
            <w:r w:rsidRPr="0039275B">
              <w:rPr>
                <w:rFonts w:eastAsia="Times New Roman" w:cstheme="minorHAnsi"/>
                <w:color w:val="000000"/>
                <w:bdr w:val="none" w:sz="0" w:space="0" w:color="auto" w:frame="1"/>
                <w:lang w:val="en-AU"/>
              </w:rPr>
              <w:t xml:space="preserve"> in CO2/production units for each </w:t>
            </w:r>
            <w:r w:rsidRPr="00DB4605">
              <w:rPr>
                <w:rFonts w:eastAsia="Times New Roman" w:cstheme="minorHAnsi"/>
                <w:color w:val="000000"/>
                <w:bdr w:val="none" w:sz="0" w:space="0" w:color="auto" w:frame="1"/>
                <w:lang w:val="en-AU"/>
              </w:rPr>
              <w:t>Technology</w:t>
            </w:r>
            <w:r>
              <w:rPr>
                <w:rFonts w:eastAsia="Times New Roman" w:cstheme="minorHAnsi"/>
                <w:color w:val="000000"/>
                <w:bdr w:val="none" w:sz="0" w:space="0" w:color="auto" w:frame="1"/>
                <w:lang w:val="en-AU"/>
              </w:rPr>
              <w:t>.</w:t>
            </w:r>
          </w:p>
          <w:p w14:paraId="3E490D19" w14:textId="541CFEEB" w:rsidR="00DD1B06" w:rsidRDefault="00DD1B06" w:rsidP="00CB0E5F">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 xml:space="preserve">Only provided for </w:t>
            </w:r>
            <w:r w:rsidRPr="0039275B">
              <w:rPr>
                <w:rFonts w:eastAsia="Times New Roman" w:cstheme="minorHAnsi"/>
                <w:color w:val="000000"/>
                <w:bdr w:val="none" w:sz="0" w:space="0" w:color="auto" w:frame="1"/>
                <w:lang w:val="en-AU"/>
              </w:rPr>
              <w:t>cement, steel and aviation sectors</w:t>
            </w:r>
            <w:r>
              <w:rPr>
                <w:rFonts w:eastAsia="Times New Roman" w:cstheme="minorHAnsi"/>
                <w:color w:val="000000"/>
                <w:bdr w:val="none" w:sz="0" w:space="0" w:color="auto" w:frame="1"/>
                <w:lang w:val="en-AU"/>
              </w:rPr>
              <w:t>.</w:t>
            </w:r>
          </w:p>
        </w:tc>
      </w:tr>
      <w:tr w:rsidR="009326FF" w14:paraId="6B000978" w14:textId="77777777" w:rsidTr="00B47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8" w:type="dxa"/>
            <w:gridSpan w:val="4"/>
            <w:shd w:val="clear" w:color="auto" w:fill="2E2F31"/>
            <w:vAlign w:val="center"/>
          </w:tcPr>
          <w:p w14:paraId="71D09C10" w14:textId="46D640F8" w:rsidR="009326FF" w:rsidRPr="00B47710" w:rsidRDefault="009326FF" w:rsidP="00CB0E5F">
            <w:pPr>
              <w:pStyle w:val="BodyText"/>
              <w:rPr>
                <w:rFonts w:eastAsia="Times New Roman" w:cstheme="minorHAnsi"/>
                <w:color w:val="FFFFFF" w:themeColor="background1"/>
                <w:bdr w:val="none" w:sz="0" w:space="0" w:color="auto" w:frame="1"/>
                <w:lang w:val="en-AU"/>
              </w:rPr>
            </w:pPr>
            <w:r w:rsidRPr="00B47710">
              <w:rPr>
                <w:rFonts w:eastAsia="Times New Roman" w:cstheme="minorHAnsi"/>
                <w:color w:val="FFFFFF" w:themeColor="background1"/>
                <w:bdr w:val="none" w:sz="0" w:space="0" w:color="auto" w:frame="1"/>
              </w:rPr>
              <w:t xml:space="preserve">SECTOR </w:t>
            </w:r>
            <w:r w:rsidRPr="00B47710">
              <w:rPr>
                <w:color w:val="FFFFFF" w:themeColor="background1"/>
              </w:rPr>
              <w:t>RESULTS</w:t>
            </w:r>
          </w:p>
        </w:tc>
      </w:tr>
      <w:tr w:rsidR="00704B3D" w14:paraId="68329916" w14:textId="77777777" w:rsidTr="00CB0E5F">
        <w:tc>
          <w:tcPr>
            <w:cnfStyle w:val="001000000000" w:firstRow="0" w:lastRow="0" w:firstColumn="1" w:lastColumn="0" w:oddVBand="0" w:evenVBand="0" w:oddHBand="0" w:evenHBand="0" w:firstRowFirstColumn="0" w:firstRowLastColumn="0" w:lastRowFirstColumn="0" w:lastRowLastColumn="0"/>
            <w:tcW w:w="2313" w:type="dxa"/>
            <w:vAlign w:val="center"/>
          </w:tcPr>
          <w:p w14:paraId="770958D5" w14:textId="0D73171D" w:rsidR="00704B3D" w:rsidRPr="002A3897" w:rsidRDefault="00704B3D" w:rsidP="00CB0E5F">
            <w:pPr>
              <w:pStyle w:val="BodyText"/>
              <w:rPr>
                <w:rFonts w:eastAsia="Times New Roman" w:cstheme="minorHAnsi"/>
                <w:b w:val="0"/>
                <w:color w:val="000000"/>
                <w:bdr w:val="none" w:sz="0" w:space="0" w:color="auto" w:frame="1"/>
              </w:rPr>
            </w:pPr>
            <w:proofErr w:type="spellStart"/>
            <w:r>
              <w:rPr>
                <w:rFonts w:eastAsia="Times New Roman" w:cstheme="minorHAnsi"/>
                <w:color w:val="000000"/>
                <w:bdr w:val="none" w:sz="0" w:space="0" w:color="auto" w:frame="1"/>
              </w:rPr>
              <w:t>Plan.SecProd</w:t>
            </w:r>
            <w:proofErr w:type="spellEnd"/>
          </w:p>
        </w:tc>
        <w:tc>
          <w:tcPr>
            <w:tcW w:w="4677" w:type="dxa"/>
            <w:vAlign w:val="center"/>
          </w:tcPr>
          <w:p w14:paraId="2428493F" w14:textId="77777777" w:rsidR="001B3079" w:rsidRDefault="00704B3D" w:rsidP="00CB0E5F">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Sector production, if all production from each company was allocated to the portfolio.</w:t>
            </w:r>
          </w:p>
          <w:p w14:paraId="3CA1E382" w14:textId="4127850E" w:rsidR="00704B3D" w:rsidRPr="0039275B" w:rsidRDefault="00704B3D" w:rsidP="00CB0E5F">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 xml:space="preserve">This is the sum of </w:t>
            </w:r>
            <w:proofErr w:type="spellStart"/>
            <w:r w:rsidRPr="00B47710">
              <w:rPr>
                <w:rStyle w:val="Strong"/>
              </w:rPr>
              <w:t>Plan.TechProd</w:t>
            </w:r>
            <w:proofErr w:type="spellEnd"/>
            <w:r>
              <w:rPr>
                <w:rFonts w:eastAsia="Times New Roman" w:cstheme="minorHAnsi"/>
                <w:color w:val="000000"/>
                <w:bdr w:val="none" w:sz="0" w:space="0" w:color="auto" w:frame="1"/>
                <w:lang w:val="en-AU"/>
              </w:rPr>
              <w:t xml:space="preserve"> for all technologies within the Sector.  </w:t>
            </w:r>
          </w:p>
        </w:tc>
        <w:tc>
          <w:tcPr>
            <w:tcW w:w="2251" w:type="dxa"/>
            <w:vAlign w:val="center"/>
          </w:tcPr>
          <w:p w14:paraId="29A1BD15" w14:textId="73C54610" w:rsidR="00704B3D" w:rsidRPr="00B47710" w:rsidRDefault="00704B3D" w:rsidP="00CB0E5F">
            <w:pPr>
              <w:pStyle w:val="BodyText"/>
              <w:cnfStyle w:val="000000000000" w:firstRow="0" w:lastRow="0" w:firstColumn="0" w:lastColumn="0" w:oddVBand="0" w:evenVBand="0" w:oddHBand="0" w:evenHBand="0" w:firstRowFirstColumn="0" w:firstRowLastColumn="0" w:lastRowFirstColumn="0" w:lastRowLastColumn="0"/>
              <w:rPr>
                <w:rStyle w:val="Strong"/>
              </w:rPr>
            </w:pPr>
            <w:proofErr w:type="spellStart"/>
            <w:r w:rsidRPr="00B47710">
              <w:rPr>
                <w:rStyle w:val="Strong"/>
              </w:rPr>
              <w:t>Scen.SecProd</w:t>
            </w:r>
            <w:proofErr w:type="spellEnd"/>
          </w:p>
        </w:tc>
        <w:tc>
          <w:tcPr>
            <w:tcW w:w="4707" w:type="dxa"/>
            <w:vAlign w:val="center"/>
          </w:tcPr>
          <w:p w14:paraId="1B32DB04" w14:textId="77777777" w:rsidR="001B3079" w:rsidRDefault="00704B3D" w:rsidP="00CB0E5F">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 xml:space="preserve">Sector production, if all production from each company consistent with the </w:t>
            </w:r>
            <w:r w:rsidRPr="001335CD">
              <w:rPr>
                <w:rFonts w:eastAsia="Times New Roman" w:cstheme="minorHAnsi"/>
                <w:b/>
                <w:color w:val="000000"/>
                <w:bdr w:val="none" w:sz="0" w:space="0" w:color="auto" w:frame="1"/>
                <w:lang w:val="en-AU"/>
              </w:rPr>
              <w:t>Scenario</w:t>
            </w:r>
            <w:r>
              <w:rPr>
                <w:rFonts w:eastAsia="Times New Roman" w:cstheme="minorHAnsi"/>
                <w:color w:val="000000"/>
                <w:bdr w:val="none" w:sz="0" w:space="0" w:color="auto" w:frame="1"/>
                <w:lang w:val="en-AU"/>
              </w:rPr>
              <w:t xml:space="preserve"> was allocated to the portfolio.</w:t>
            </w:r>
          </w:p>
          <w:p w14:paraId="3CDF93B7" w14:textId="68FF0A16" w:rsidR="00704B3D" w:rsidRPr="0039275B" w:rsidRDefault="00704B3D" w:rsidP="00CB0E5F">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 xml:space="preserve">This is the sum of </w:t>
            </w:r>
            <w:proofErr w:type="spellStart"/>
            <w:r w:rsidRPr="00B47710">
              <w:rPr>
                <w:rStyle w:val="Strong"/>
              </w:rPr>
              <w:t>Scen.TechProd</w:t>
            </w:r>
            <w:proofErr w:type="spellEnd"/>
            <w:r>
              <w:rPr>
                <w:rFonts w:eastAsia="Times New Roman" w:cstheme="minorHAnsi"/>
                <w:color w:val="000000"/>
                <w:bdr w:val="none" w:sz="0" w:space="0" w:color="auto" w:frame="1"/>
                <w:lang w:val="en-AU"/>
              </w:rPr>
              <w:t xml:space="preserve"> for all technologies within the Sector.  </w:t>
            </w:r>
          </w:p>
        </w:tc>
      </w:tr>
      <w:tr w:rsidR="00704B3D" w14:paraId="2916BA37" w14:textId="77777777" w:rsidTr="00C70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shd w:val="clear" w:color="auto" w:fill="F2F2F2"/>
            <w:vAlign w:val="center"/>
          </w:tcPr>
          <w:p w14:paraId="3F8E41E9" w14:textId="1F73B280" w:rsidR="00704B3D" w:rsidRDefault="00704B3D" w:rsidP="00CB0E5F">
            <w:pPr>
              <w:pStyle w:val="BodyText"/>
              <w:rPr>
                <w:rFonts w:eastAsia="Times New Roman" w:cstheme="minorHAnsi"/>
                <w:b w:val="0"/>
                <w:color w:val="000000"/>
                <w:bdr w:val="none" w:sz="0" w:space="0" w:color="auto" w:frame="1"/>
              </w:rPr>
            </w:pPr>
            <w:proofErr w:type="spellStart"/>
            <w:proofErr w:type="gramStart"/>
            <w:r w:rsidRPr="00AC144E">
              <w:rPr>
                <w:rFonts w:eastAsia="Times New Roman" w:cstheme="minorHAnsi"/>
                <w:color w:val="000000"/>
                <w:bdr w:val="none" w:sz="0" w:space="0" w:color="auto" w:frame="1"/>
              </w:rPr>
              <w:t>Plan.Alloc.WtSecProd</w:t>
            </w:r>
            <w:proofErr w:type="spellEnd"/>
            <w:proofErr w:type="gramEnd"/>
          </w:p>
        </w:tc>
        <w:tc>
          <w:tcPr>
            <w:tcW w:w="4677" w:type="dxa"/>
            <w:shd w:val="clear" w:color="auto" w:fill="F2F2F2"/>
            <w:vAlign w:val="center"/>
          </w:tcPr>
          <w:p w14:paraId="0D9FBFF9" w14:textId="0CADCB75" w:rsidR="001B3079" w:rsidRDefault="00704B3D" w:rsidP="00CB0E5F">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rPr>
            </w:pPr>
            <w:r>
              <w:rPr>
                <w:rFonts w:eastAsia="Times New Roman" w:cstheme="minorHAnsi"/>
                <w:color w:val="000000"/>
                <w:bdr w:val="none" w:sz="0" w:space="0" w:color="auto" w:frame="1"/>
              </w:rPr>
              <w:t>Sector production allocated to the portfolio based on the weight of each company in the portfolio (</w:t>
            </w:r>
            <w:proofErr w:type="spellStart"/>
            <w:r>
              <w:rPr>
                <w:rFonts w:eastAsia="Times New Roman" w:cstheme="minorHAnsi"/>
                <w:color w:val="000000"/>
                <w:bdr w:val="none" w:sz="0" w:space="0" w:color="auto" w:frame="1"/>
              </w:rPr>
              <w:t>PortWeight</w:t>
            </w:r>
            <w:proofErr w:type="spellEnd"/>
            <w:r>
              <w:rPr>
                <w:rFonts w:eastAsia="Times New Roman" w:cstheme="minorHAnsi"/>
                <w:color w:val="000000"/>
                <w:bdr w:val="none" w:sz="0" w:space="0" w:color="auto" w:frame="1"/>
              </w:rPr>
              <w:t xml:space="preserve"> method) or the percent of the company that the portfolio owns (Ownership method).</w:t>
            </w:r>
          </w:p>
          <w:p w14:paraId="4F836A06" w14:textId="16F86D5B" w:rsidR="00704B3D" w:rsidRPr="001B3079" w:rsidRDefault="00704B3D" w:rsidP="00CB0E5F">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rPr>
            </w:pPr>
            <w:r>
              <w:rPr>
                <w:rFonts w:eastAsia="Times New Roman" w:cstheme="minorHAnsi"/>
                <w:color w:val="000000"/>
                <w:bdr w:val="none" w:sz="0" w:space="0" w:color="auto" w:frame="1"/>
                <w:lang w:val="en-AU"/>
              </w:rPr>
              <w:t xml:space="preserve">This is the sum of </w:t>
            </w:r>
            <w:proofErr w:type="spellStart"/>
            <w:r w:rsidRPr="009B58AA">
              <w:rPr>
                <w:rStyle w:val="Strong"/>
              </w:rPr>
              <w:t>Plan.AllocWtTechProd</w:t>
            </w:r>
            <w:proofErr w:type="spellEnd"/>
            <w:r>
              <w:rPr>
                <w:rFonts w:eastAsia="Times New Roman" w:cstheme="minorHAnsi"/>
                <w:color w:val="000000"/>
                <w:bdr w:val="none" w:sz="0" w:space="0" w:color="auto" w:frame="1"/>
                <w:lang w:val="en-AU"/>
              </w:rPr>
              <w:t xml:space="preserve"> for all technologies within the Sector.  </w:t>
            </w:r>
          </w:p>
        </w:tc>
        <w:tc>
          <w:tcPr>
            <w:tcW w:w="2251" w:type="dxa"/>
            <w:shd w:val="clear" w:color="auto" w:fill="F2F2F2"/>
            <w:vAlign w:val="center"/>
          </w:tcPr>
          <w:p w14:paraId="7F8754F9" w14:textId="43C4BF82" w:rsidR="00704B3D" w:rsidRPr="009B58AA" w:rsidRDefault="009D2831" w:rsidP="00CB0E5F">
            <w:pPr>
              <w:pStyle w:val="BodyText"/>
              <w:cnfStyle w:val="000000100000" w:firstRow="0" w:lastRow="0" w:firstColumn="0" w:lastColumn="0" w:oddVBand="0" w:evenVBand="0" w:oddHBand="1" w:evenHBand="0" w:firstRowFirstColumn="0" w:firstRowLastColumn="0" w:lastRowFirstColumn="0" w:lastRowLastColumn="0"/>
              <w:rPr>
                <w:rStyle w:val="Strong"/>
              </w:rPr>
            </w:pPr>
            <w:proofErr w:type="spellStart"/>
            <w:proofErr w:type="gramStart"/>
            <w:r w:rsidRPr="009B58AA">
              <w:rPr>
                <w:rStyle w:val="Strong"/>
              </w:rPr>
              <w:t>Scen.Alloc.WtSecProd</w:t>
            </w:r>
            <w:proofErr w:type="spellEnd"/>
            <w:proofErr w:type="gramEnd"/>
          </w:p>
        </w:tc>
        <w:tc>
          <w:tcPr>
            <w:tcW w:w="4707" w:type="dxa"/>
            <w:shd w:val="clear" w:color="auto" w:fill="F2F2F2"/>
            <w:vAlign w:val="center"/>
          </w:tcPr>
          <w:p w14:paraId="3F200706" w14:textId="77777777" w:rsidR="001B3079" w:rsidRDefault="009D2831" w:rsidP="00CB0E5F">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rPr>
            </w:pPr>
            <w:r>
              <w:rPr>
                <w:rFonts w:eastAsia="Times New Roman" w:cstheme="minorHAnsi"/>
                <w:color w:val="000000"/>
                <w:bdr w:val="none" w:sz="0" w:space="0" w:color="auto" w:frame="1"/>
              </w:rPr>
              <w:t>Sector production consistent with the scenario allocated to the portfolio based on the weight of each company in the portfolio (</w:t>
            </w:r>
            <w:proofErr w:type="spellStart"/>
            <w:r>
              <w:rPr>
                <w:rFonts w:eastAsia="Times New Roman" w:cstheme="minorHAnsi"/>
                <w:color w:val="000000"/>
                <w:bdr w:val="none" w:sz="0" w:space="0" w:color="auto" w:frame="1"/>
              </w:rPr>
              <w:t>PortWeight</w:t>
            </w:r>
            <w:proofErr w:type="spellEnd"/>
            <w:r>
              <w:rPr>
                <w:rFonts w:eastAsia="Times New Roman" w:cstheme="minorHAnsi"/>
                <w:color w:val="000000"/>
                <w:bdr w:val="none" w:sz="0" w:space="0" w:color="auto" w:frame="1"/>
              </w:rPr>
              <w:t xml:space="preserve"> method) or the percent of the company that the portfolio owns (Ownership method).</w:t>
            </w:r>
          </w:p>
          <w:p w14:paraId="05D3CAC6" w14:textId="2398FC9E" w:rsidR="00704B3D" w:rsidRPr="001B3079" w:rsidRDefault="009D2831" w:rsidP="00CB0E5F">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rPr>
            </w:pPr>
            <w:r>
              <w:rPr>
                <w:rFonts w:eastAsia="Times New Roman" w:cstheme="minorHAnsi"/>
                <w:color w:val="000000"/>
                <w:bdr w:val="none" w:sz="0" w:space="0" w:color="auto" w:frame="1"/>
                <w:lang w:val="en-AU"/>
              </w:rPr>
              <w:t xml:space="preserve">This is the sum of </w:t>
            </w:r>
            <w:proofErr w:type="spellStart"/>
            <w:r w:rsidRPr="009B58AA">
              <w:rPr>
                <w:rStyle w:val="Strong"/>
              </w:rPr>
              <w:t>Scen.AllocWtTechProd</w:t>
            </w:r>
            <w:proofErr w:type="spellEnd"/>
            <w:r>
              <w:rPr>
                <w:rFonts w:eastAsia="Times New Roman" w:cstheme="minorHAnsi"/>
                <w:color w:val="000000"/>
                <w:bdr w:val="none" w:sz="0" w:space="0" w:color="auto" w:frame="1"/>
                <w:lang w:val="en-AU"/>
              </w:rPr>
              <w:t xml:space="preserve"> for all technologies within the Sector.  </w:t>
            </w:r>
          </w:p>
        </w:tc>
      </w:tr>
      <w:tr w:rsidR="00704B3D" w14:paraId="5E08FE63" w14:textId="77777777" w:rsidTr="00CB0E5F">
        <w:tc>
          <w:tcPr>
            <w:cnfStyle w:val="001000000000" w:firstRow="0" w:lastRow="0" w:firstColumn="1" w:lastColumn="0" w:oddVBand="0" w:evenVBand="0" w:oddHBand="0" w:evenHBand="0" w:firstRowFirstColumn="0" w:firstRowLastColumn="0" w:lastRowFirstColumn="0" w:lastRowLastColumn="0"/>
            <w:tcW w:w="2313" w:type="dxa"/>
            <w:vAlign w:val="center"/>
          </w:tcPr>
          <w:p w14:paraId="53CC4B57" w14:textId="282B5729" w:rsidR="00704B3D" w:rsidRDefault="00704B3D" w:rsidP="00CB0E5F">
            <w:pPr>
              <w:pStyle w:val="BodyText"/>
              <w:rPr>
                <w:rFonts w:eastAsia="Times New Roman" w:cstheme="minorHAnsi"/>
                <w:b w:val="0"/>
                <w:color w:val="000000"/>
                <w:bdr w:val="none" w:sz="0" w:space="0" w:color="auto" w:frame="1"/>
              </w:rPr>
            </w:pPr>
            <w:proofErr w:type="spellStart"/>
            <w:proofErr w:type="gramStart"/>
            <w:r w:rsidRPr="00AC144E">
              <w:rPr>
                <w:rFonts w:eastAsia="Times New Roman" w:cstheme="minorHAnsi"/>
                <w:color w:val="000000"/>
                <w:bdr w:val="none" w:sz="0" w:space="0" w:color="auto" w:frame="1"/>
              </w:rPr>
              <w:lastRenderedPageBreak/>
              <w:t>Plan.Sec.Carsten</w:t>
            </w:r>
            <w:proofErr w:type="spellEnd"/>
            <w:proofErr w:type="gramEnd"/>
          </w:p>
        </w:tc>
        <w:tc>
          <w:tcPr>
            <w:tcW w:w="4677" w:type="dxa"/>
            <w:vAlign w:val="center"/>
          </w:tcPr>
          <w:p w14:paraId="48194495" w14:textId="77777777" w:rsidR="00704B3D" w:rsidRDefault="00704B3D" w:rsidP="00CB0E5F">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 xml:space="preserve">Under </w:t>
            </w:r>
            <w:proofErr w:type="spellStart"/>
            <w:r>
              <w:rPr>
                <w:rFonts w:eastAsia="Times New Roman" w:cstheme="minorHAnsi"/>
                <w:color w:val="000000"/>
                <w:bdr w:val="none" w:sz="0" w:space="0" w:color="auto" w:frame="1"/>
                <w:lang w:val="en-AU"/>
              </w:rPr>
              <w:t>PortWeight</w:t>
            </w:r>
            <w:proofErr w:type="spellEnd"/>
            <w:r>
              <w:rPr>
                <w:rFonts w:eastAsia="Times New Roman" w:cstheme="minorHAnsi"/>
                <w:color w:val="000000"/>
                <w:bdr w:val="none" w:sz="0" w:space="0" w:color="auto" w:frame="1"/>
                <w:lang w:val="en-AU"/>
              </w:rPr>
              <w:t xml:space="preserve"> allocation method, this is the percent of portfolio market value exposed to the given Sector.</w:t>
            </w:r>
          </w:p>
          <w:p w14:paraId="0C68D78E" w14:textId="77777777" w:rsidR="00704B3D" w:rsidRDefault="00704B3D" w:rsidP="00CB0E5F">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 xml:space="preserve">Not calculated under the Ownership allocation method.  </w:t>
            </w:r>
          </w:p>
          <w:p w14:paraId="2D222ABE" w14:textId="77777777" w:rsidR="00704B3D" w:rsidRDefault="00704B3D" w:rsidP="00CB0E5F">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rPr>
            </w:pPr>
          </w:p>
          <w:p w14:paraId="5F733C85" w14:textId="12CE91CB" w:rsidR="00704B3D" w:rsidRDefault="00704B3D" w:rsidP="00CB0E5F">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rPr>
              <w:t xml:space="preserve">This is the sum of </w:t>
            </w:r>
            <w:proofErr w:type="spellStart"/>
            <w:r w:rsidRPr="001B3079">
              <w:rPr>
                <w:rStyle w:val="Strong"/>
              </w:rPr>
              <w:t>Plan.Carsten</w:t>
            </w:r>
            <w:proofErr w:type="spellEnd"/>
            <w:r>
              <w:rPr>
                <w:rFonts w:eastAsia="Times New Roman" w:cstheme="minorHAnsi"/>
                <w:color w:val="000000"/>
                <w:bdr w:val="none" w:sz="0" w:space="0" w:color="auto" w:frame="1"/>
              </w:rPr>
              <w:t xml:space="preserve"> for all technologies within the sector.</w:t>
            </w:r>
          </w:p>
        </w:tc>
        <w:tc>
          <w:tcPr>
            <w:tcW w:w="2251" w:type="dxa"/>
            <w:vAlign w:val="center"/>
          </w:tcPr>
          <w:p w14:paraId="62E59414" w14:textId="2E5ECB56" w:rsidR="00704B3D" w:rsidRPr="001B3079" w:rsidRDefault="009D2831" w:rsidP="00CB0E5F">
            <w:pPr>
              <w:pStyle w:val="BodyText"/>
              <w:cnfStyle w:val="000000000000" w:firstRow="0" w:lastRow="0" w:firstColumn="0" w:lastColumn="0" w:oddVBand="0" w:evenVBand="0" w:oddHBand="0" w:evenHBand="0" w:firstRowFirstColumn="0" w:firstRowLastColumn="0" w:lastRowFirstColumn="0" w:lastRowLastColumn="0"/>
              <w:rPr>
                <w:rStyle w:val="Strong"/>
              </w:rPr>
            </w:pPr>
            <w:proofErr w:type="spellStart"/>
            <w:proofErr w:type="gramStart"/>
            <w:r w:rsidRPr="001B3079">
              <w:rPr>
                <w:rStyle w:val="Strong"/>
              </w:rPr>
              <w:t>Scen.Sec.Carsten</w:t>
            </w:r>
            <w:proofErr w:type="spellEnd"/>
            <w:proofErr w:type="gramEnd"/>
          </w:p>
        </w:tc>
        <w:tc>
          <w:tcPr>
            <w:tcW w:w="4707" w:type="dxa"/>
            <w:vAlign w:val="center"/>
          </w:tcPr>
          <w:p w14:paraId="01911758" w14:textId="4251240F" w:rsidR="009D2831" w:rsidRDefault="009D2831" w:rsidP="00CB0E5F">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 xml:space="preserve">Under </w:t>
            </w:r>
            <w:proofErr w:type="spellStart"/>
            <w:r>
              <w:rPr>
                <w:rFonts w:eastAsia="Times New Roman" w:cstheme="minorHAnsi"/>
                <w:color w:val="000000"/>
                <w:bdr w:val="none" w:sz="0" w:space="0" w:color="auto" w:frame="1"/>
                <w:lang w:val="en-AU"/>
              </w:rPr>
              <w:t>PortWeight</w:t>
            </w:r>
            <w:proofErr w:type="spellEnd"/>
            <w:r>
              <w:rPr>
                <w:rFonts w:eastAsia="Times New Roman" w:cstheme="minorHAnsi"/>
                <w:color w:val="000000"/>
                <w:bdr w:val="none" w:sz="0" w:space="0" w:color="auto" w:frame="1"/>
                <w:lang w:val="en-AU"/>
              </w:rPr>
              <w:t xml:space="preserve"> allocation method, this is the percent of portfolio market value exposed to the given Sector, if production is consistent with the given scenario.</w:t>
            </w:r>
            <w:r w:rsidR="001B3079">
              <w:rPr>
                <w:rFonts w:eastAsia="Times New Roman" w:cstheme="minorHAnsi"/>
                <w:color w:val="000000"/>
                <w:bdr w:val="none" w:sz="0" w:space="0" w:color="auto" w:frame="1"/>
                <w:lang w:val="en-AU"/>
              </w:rPr>
              <w:t xml:space="preserve"> </w:t>
            </w:r>
            <w:r>
              <w:rPr>
                <w:rFonts w:eastAsia="Times New Roman" w:cstheme="minorHAnsi"/>
                <w:color w:val="000000"/>
                <w:bdr w:val="none" w:sz="0" w:space="0" w:color="auto" w:frame="1"/>
                <w:lang w:val="en-AU"/>
              </w:rPr>
              <w:t xml:space="preserve">Not calculated under the Ownership allocation method.  </w:t>
            </w:r>
          </w:p>
          <w:p w14:paraId="1C6EB456" w14:textId="4D1DD102" w:rsidR="00704B3D" w:rsidRPr="0039275B" w:rsidRDefault="009D2831" w:rsidP="00CB0E5F">
            <w:pPr>
              <w:pStyle w:val="BodyTex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rPr>
              <w:t xml:space="preserve">This is the sum of </w:t>
            </w:r>
            <w:proofErr w:type="spellStart"/>
            <w:r w:rsidRPr="001B3079">
              <w:rPr>
                <w:rStyle w:val="Strong"/>
              </w:rPr>
              <w:t>Scen.Carsten</w:t>
            </w:r>
            <w:proofErr w:type="spellEnd"/>
            <w:r>
              <w:rPr>
                <w:rFonts w:eastAsia="Times New Roman" w:cstheme="minorHAnsi"/>
                <w:color w:val="000000"/>
                <w:bdr w:val="none" w:sz="0" w:space="0" w:color="auto" w:frame="1"/>
              </w:rPr>
              <w:t xml:space="preserve"> for all technologies within the sector.</w:t>
            </w:r>
          </w:p>
        </w:tc>
      </w:tr>
      <w:tr w:rsidR="00A04C28" w14:paraId="14115FF7" w14:textId="77777777" w:rsidTr="00C7035D">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2313" w:type="dxa"/>
            <w:shd w:val="clear" w:color="auto" w:fill="F2F2F2"/>
            <w:vAlign w:val="center"/>
          </w:tcPr>
          <w:p w14:paraId="006DFFC5" w14:textId="1934F55A" w:rsidR="00A04C28" w:rsidRDefault="00A667B7" w:rsidP="00CB0E5F">
            <w:pPr>
              <w:pStyle w:val="BodyText"/>
              <w:rPr>
                <w:rFonts w:eastAsia="Times New Roman" w:cstheme="minorHAnsi"/>
                <w:b w:val="0"/>
                <w:color w:val="000000"/>
                <w:bdr w:val="none" w:sz="0" w:space="0" w:color="auto" w:frame="1"/>
              </w:rPr>
            </w:pPr>
            <w:proofErr w:type="spellStart"/>
            <w:proofErr w:type="gramStart"/>
            <w:r w:rsidRPr="00AC144E">
              <w:rPr>
                <w:rFonts w:eastAsia="Times New Roman" w:cstheme="minorHAnsi"/>
                <w:color w:val="000000"/>
                <w:bdr w:val="none" w:sz="0" w:space="0" w:color="auto" w:frame="1"/>
              </w:rPr>
              <w:t>Plan.Sec.EmissionsFactor</w:t>
            </w:r>
            <w:proofErr w:type="spellEnd"/>
            <w:proofErr w:type="gramEnd"/>
          </w:p>
        </w:tc>
        <w:tc>
          <w:tcPr>
            <w:tcW w:w="4677" w:type="dxa"/>
            <w:shd w:val="clear" w:color="auto" w:fill="F2F2F2"/>
            <w:vAlign w:val="center"/>
          </w:tcPr>
          <w:p w14:paraId="45FAF305" w14:textId="00F4FA29" w:rsidR="00A667B7" w:rsidRPr="008B2384" w:rsidRDefault="00A667B7" w:rsidP="00CB0E5F">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lang w:val="en-AU"/>
              </w:rPr>
            </w:pPr>
            <w:r w:rsidRPr="0039275B">
              <w:rPr>
                <w:rFonts w:eastAsia="Times New Roman" w:cstheme="minorHAnsi"/>
                <w:color w:val="000000"/>
                <w:bdr w:val="none" w:sz="0" w:space="0" w:color="auto" w:frame="1"/>
                <w:lang w:val="en-AU"/>
              </w:rPr>
              <w:t xml:space="preserve">Emissions Factor in CO2/production units for </w:t>
            </w:r>
            <w:r w:rsidR="001B3079">
              <w:rPr>
                <w:rFonts w:eastAsia="Times New Roman" w:cstheme="minorHAnsi"/>
                <w:color w:val="000000"/>
                <w:bdr w:val="none" w:sz="0" w:space="0" w:color="auto" w:frame="1"/>
                <w:lang w:val="en-AU"/>
              </w:rPr>
              <w:t>the given sector.</w:t>
            </w:r>
          </w:p>
          <w:p w14:paraId="2E89EE6F" w14:textId="77777777" w:rsidR="001B3079" w:rsidRDefault="00A667B7" w:rsidP="00CB0E5F">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rPr>
            </w:pPr>
            <w:r>
              <w:rPr>
                <w:rFonts w:eastAsia="Times New Roman" w:cstheme="minorHAnsi"/>
                <w:color w:val="000000"/>
                <w:bdr w:val="none" w:sz="0" w:space="0" w:color="auto" w:frame="1"/>
              </w:rPr>
              <w:t xml:space="preserve">This is the weighted average (by production) of </w:t>
            </w:r>
            <w:proofErr w:type="spellStart"/>
            <w:r w:rsidRPr="001B3079">
              <w:rPr>
                <w:rStyle w:val="Strong"/>
              </w:rPr>
              <w:t>Plan.EmissionsFactor</w:t>
            </w:r>
            <w:proofErr w:type="spellEnd"/>
            <w:r>
              <w:rPr>
                <w:rFonts w:eastAsia="Times New Roman" w:cstheme="minorHAnsi"/>
                <w:color w:val="000000"/>
                <w:bdr w:val="none" w:sz="0" w:space="0" w:color="auto" w:frame="1"/>
              </w:rPr>
              <w:t xml:space="preserve"> for all technologies within the sector. </w:t>
            </w:r>
          </w:p>
          <w:p w14:paraId="16F9CBC9" w14:textId="76CEF8D6" w:rsidR="00A04C28" w:rsidRPr="001B3079" w:rsidRDefault="005D59F6" w:rsidP="00CB0E5F">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rPr>
            </w:pPr>
            <w:r>
              <w:rPr>
                <w:rFonts w:eastAsia="Times New Roman" w:cstheme="minorHAnsi"/>
                <w:color w:val="000000"/>
                <w:bdr w:val="none" w:sz="0" w:space="0" w:color="auto" w:frame="1"/>
                <w:lang w:val="en-AU"/>
              </w:rPr>
              <w:br/>
            </w:r>
            <w:r w:rsidR="00A667B7">
              <w:rPr>
                <w:rFonts w:eastAsia="Times New Roman" w:cstheme="minorHAnsi"/>
                <w:color w:val="000000"/>
                <w:bdr w:val="none" w:sz="0" w:space="0" w:color="auto" w:frame="1"/>
                <w:lang w:val="en-AU"/>
              </w:rPr>
              <w:t xml:space="preserve">Only provided for </w:t>
            </w:r>
            <w:r w:rsidR="00A667B7" w:rsidRPr="0039275B">
              <w:rPr>
                <w:rFonts w:eastAsia="Times New Roman" w:cstheme="minorHAnsi"/>
                <w:color w:val="000000"/>
                <w:bdr w:val="none" w:sz="0" w:space="0" w:color="auto" w:frame="1"/>
                <w:lang w:val="en-AU"/>
              </w:rPr>
              <w:t>cement, steel and aviation sectors</w:t>
            </w:r>
            <w:r w:rsidR="00A667B7">
              <w:rPr>
                <w:rFonts w:eastAsia="Times New Roman" w:cstheme="minorHAnsi"/>
                <w:color w:val="000000"/>
                <w:bdr w:val="none" w:sz="0" w:space="0" w:color="auto" w:frame="1"/>
                <w:lang w:val="en-AU"/>
              </w:rPr>
              <w:t>.</w:t>
            </w:r>
          </w:p>
        </w:tc>
        <w:tc>
          <w:tcPr>
            <w:tcW w:w="2251" w:type="dxa"/>
            <w:shd w:val="clear" w:color="auto" w:fill="F2F2F2"/>
            <w:vAlign w:val="center"/>
          </w:tcPr>
          <w:p w14:paraId="080B9FBD" w14:textId="6E916B38" w:rsidR="00A04C28" w:rsidRPr="001B3079" w:rsidRDefault="00A04C28" w:rsidP="00CB0E5F">
            <w:pPr>
              <w:pStyle w:val="BodyText"/>
              <w:cnfStyle w:val="000000100000" w:firstRow="0" w:lastRow="0" w:firstColumn="0" w:lastColumn="0" w:oddVBand="0" w:evenVBand="0" w:oddHBand="1" w:evenHBand="0" w:firstRowFirstColumn="0" w:firstRowLastColumn="0" w:lastRowFirstColumn="0" w:lastRowLastColumn="0"/>
              <w:rPr>
                <w:rStyle w:val="Strong"/>
              </w:rPr>
            </w:pPr>
            <w:proofErr w:type="spellStart"/>
            <w:proofErr w:type="gramStart"/>
            <w:r w:rsidRPr="001B3079">
              <w:rPr>
                <w:rStyle w:val="Strong"/>
              </w:rPr>
              <w:t>Scen.Sec.EmissionsFactor</w:t>
            </w:r>
            <w:proofErr w:type="spellEnd"/>
            <w:proofErr w:type="gramEnd"/>
          </w:p>
        </w:tc>
        <w:tc>
          <w:tcPr>
            <w:tcW w:w="4707" w:type="dxa"/>
            <w:shd w:val="clear" w:color="auto" w:fill="F2F2F2"/>
            <w:vAlign w:val="center"/>
          </w:tcPr>
          <w:p w14:paraId="25F1D0B4" w14:textId="77776802" w:rsidR="00A04C28" w:rsidRPr="008B2384" w:rsidRDefault="00A04C28" w:rsidP="00CB0E5F">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lang w:val="en-AU"/>
              </w:rPr>
            </w:pPr>
            <w:r w:rsidRPr="0039275B">
              <w:rPr>
                <w:rFonts w:eastAsia="Times New Roman" w:cstheme="minorHAnsi"/>
                <w:color w:val="000000"/>
                <w:bdr w:val="none" w:sz="0" w:space="0" w:color="auto" w:frame="1"/>
                <w:lang w:val="en-AU"/>
              </w:rPr>
              <w:t xml:space="preserve">Emissions Factor </w:t>
            </w:r>
            <w:r>
              <w:rPr>
                <w:rFonts w:eastAsia="Times New Roman" w:cstheme="minorHAnsi"/>
                <w:color w:val="000000"/>
                <w:bdr w:val="none" w:sz="0" w:space="0" w:color="auto" w:frame="1"/>
                <w:lang w:val="en-AU"/>
              </w:rPr>
              <w:t xml:space="preserve">consistent with the given </w:t>
            </w:r>
            <w:r w:rsidR="008A39A4" w:rsidRPr="008A39A4">
              <w:rPr>
                <w:rFonts w:eastAsia="Times New Roman" w:cstheme="minorHAnsi"/>
                <w:b/>
                <w:color w:val="000000"/>
                <w:bdr w:val="none" w:sz="0" w:space="0" w:color="auto" w:frame="1"/>
                <w:lang w:val="en-AU"/>
              </w:rPr>
              <w:t>S</w:t>
            </w:r>
            <w:r w:rsidRPr="008A39A4">
              <w:rPr>
                <w:rFonts w:eastAsia="Times New Roman" w:cstheme="minorHAnsi"/>
                <w:b/>
                <w:color w:val="000000"/>
                <w:bdr w:val="none" w:sz="0" w:space="0" w:color="auto" w:frame="1"/>
                <w:lang w:val="en-AU"/>
              </w:rPr>
              <w:t>cenario</w:t>
            </w:r>
            <w:r>
              <w:rPr>
                <w:rFonts w:eastAsia="Times New Roman" w:cstheme="minorHAnsi"/>
                <w:color w:val="000000"/>
                <w:bdr w:val="none" w:sz="0" w:space="0" w:color="auto" w:frame="1"/>
                <w:lang w:val="en-AU"/>
              </w:rPr>
              <w:t xml:space="preserve"> </w:t>
            </w:r>
            <w:r w:rsidRPr="0039275B">
              <w:rPr>
                <w:rFonts w:eastAsia="Times New Roman" w:cstheme="minorHAnsi"/>
                <w:color w:val="000000"/>
                <w:bdr w:val="none" w:sz="0" w:space="0" w:color="auto" w:frame="1"/>
                <w:lang w:val="en-AU"/>
              </w:rPr>
              <w:t xml:space="preserve">in CO2/production units for </w:t>
            </w:r>
            <w:r w:rsidR="001B3079">
              <w:rPr>
                <w:rFonts w:eastAsia="Times New Roman" w:cstheme="minorHAnsi"/>
                <w:color w:val="000000"/>
                <w:bdr w:val="none" w:sz="0" w:space="0" w:color="auto" w:frame="1"/>
                <w:lang w:val="en-AU"/>
              </w:rPr>
              <w:t>the given sector.</w:t>
            </w:r>
          </w:p>
          <w:p w14:paraId="76307771" w14:textId="46A8E1A1" w:rsidR="0075363C" w:rsidRPr="001B3079" w:rsidRDefault="00A04C28" w:rsidP="00CB0E5F">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rPr>
            </w:pPr>
            <w:r>
              <w:rPr>
                <w:rFonts w:eastAsia="Times New Roman" w:cstheme="minorHAnsi"/>
                <w:color w:val="000000"/>
                <w:bdr w:val="none" w:sz="0" w:space="0" w:color="auto" w:frame="1"/>
              </w:rPr>
              <w:t xml:space="preserve">This is the weighted average (by production) of </w:t>
            </w:r>
            <w:proofErr w:type="spellStart"/>
            <w:r w:rsidRPr="001B3079">
              <w:rPr>
                <w:rStyle w:val="Strong"/>
              </w:rPr>
              <w:t>Scen.EmissionsFactor</w:t>
            </w:r>
            <w:proofErr w:type="spellEnd"/>
            <w:r>
              <w:rPr>
                <w:rFonts w:eastAsia="Times New Roman" w:cstheme="minorHAnsi"/>
                <w:color w:val="000000"/>
                <w:bdr w:val="none" w:sz="0" w:space="0" w:color="auto" w:frame="1"/>
              </w:rPr>
              <w:t xml:space="preserve"> for all technologies within the sector. </w:t>
            </w:r>
          </w:p>
          <w:p w14:paraId="40FBB9BD" w14:textId="6E02A2E7" w:rsidR="00A04C28" w:rsidRPr="0039275B" w:rsidRDefault="00A04C28" w:rsidP="00CB0E5F">
            <w:pPr>
              <w:pStyle w:val="BodyTex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bdr w:val="none" w:sz="0" w:space="0" w:color="auto" w:frame="1"/>
                <w:lang w:val="en-AU"/>
              </w:rPr>
            </w:pPr>
            <w:r>
              <w:rPr>
                <w:rFonts w:eastAsia="Times New Roman" w:cstheme="minorHAnsi"/>
                <w:color w:val="000000"/>
                <w:bdr w:val="none" w:sz="0" w:space="0" w:color="auto" w:frame="1"/>
                <w:lang w:val="en-AU"/>
              </w:rPr>
              <w:t xml:space="preserve">Only provided for </w:t>
            </w:r>
            <w:r w:rsidRPr="0039275B">
              <w:rPr>
                <w:rFonts w:eastAsia="Times New Roman" w:cstheme="minorHAnsi"/>
                <w:color w:val="000000"/>
                <w:bdr w:val="none" w:sz="0" w:space="0" w:color="auto" w:frame="1"/>
                <w:lang w:val="en-AU"/>
              </w:rPr>
              <w:t>cement, steel and aviation sectors</w:t>
            </w:r>
            <w:r>
              <w:rPr>
                <w:rFonts w:eastAsia="Times New Roman" w:cstheme="minorHAnsi"/>
                <w:color w:val="000000"/>
                <w:bdr w:val="none" w:sz="0" w:space="0" w:color="auto" w:frame="1"/>
                <w:lang w:val="en-AU"/>
              </w:rPr>
              <w:t>.</w:t>
            </w:r>
          </w:p>
        </w:tc>
      </w:tr>
    </w:tbl>
    <w:p w14:paraId="6BA13986" w14:textId="3823D9BC" w:rsidR="00296788" w:rsidRPr="0039275B" w:rsidRDefault="00296788" w:rsidP="00127F37">
      <w:pPr>
        <w:rPr>
          <w:rFonts w:cstheme="minorHAnsi"/>
        </w:rPr>
      </w:pPr>
    </w:p>
    <w:sectPr w:rsidR="00296788" w:rsidRPr="0039275B" w:rsidSect="006B3890">
      <w:footerReference w:type="even" r:id="rId8"/>
      <w:footerReference w:type="default" r:id="rId9"/>
      <w:pgSz w:w="16838" w:h="11906" w:orient="landscape" w:code="9"/>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4A16D" w14:textId="77777777" w:rsidR="004C4BB6" w:rsidRDefault="004C4BB6" w:rsidP="001B10E0">
      <w:pPr>
        <w:spacing w:after="0"/>
      </w:pPr>
      <w:r>
        <w:separator/>
      </w:r>
    </w:p>
  </w:endnote>
  <w:endnote w:type="continuationSeparator" w:id="0">
    <w:p w14:paraId="38BA99ED" w14:textId="77777777" w:rsidR="004C4BB6" w:rsidRDefault="004C4BB6" w:rsidP="001B10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lear Sans">
    <w:altName w:val="Calibri"/>
    <w:charset w:val="00"/>
    <w:family w:val="swiss"/>
    <w:pitch w:val="variable"/>
    <w:sig w:usb0="A00002EF" w:usb1="500078FB" w:usb2="00000008" w:usb3="00000000" w:csb0="0000019F" w:csb1="00000000"/>
  </w:font>
  <w:font w:name="Courier New">
    <w:panose1 w:val="02070309020205020404"/>
    <w:charset w:val="00"/>
    <w:family w:val="modern"/>
    <w:pitch w:val="fixed"/>
    <w:sig w:usb0="E0002EFF" w:usb1="C0007843" w:usb2="00000009" w:usb3="00000000" w:csb0="000001FF" w:csb1="00000000"/>
  </w:font>
  <w:font w:name="Clear Sans Light">
    <w:altName w:val="Calibri"/>
    <w:charset w:val="00"/>
    <w:family w:val="swiss"/>
    <w:pitch w:val="variable"/>
    <w:sig w:usb0="A00002EF" w:usb1="500078FB" w:usb2="0000000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6863981"/>
      <w:docPartObj>
        <w:docPartGallery w:val="Page Numbers (Bottom of Page)"/>
        <w:docPartUnique/>
      </w:docPartObj>
    </w:sdtPr>
    <w:sdtEndPr>
      <w:rPr>
        <w:rStyle w:val="PageNumber"/>
      </w:rPr>
    </w:sdtEndPr>
    <w:sdtContent>
      <w:p w14:paraId="1C2E4A9E" w14:textId="6579252D" w:rsidR="001B10E0" w:rsidRDefault="001B10E0" w:rsidP="00E44D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040486" w14:textId="77777777" w:rsidR="001B10E0" w:rsidRDefault="001B10E0" w:rsidP="001B10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1886431"/>
      <w:docPartObj>
        <w:docPartGallery w:val="Page Numbers (Bottom of Page)"/>
        <w:docPartUnique/>
      </w:docPartObj>
    </w:sdtPr>
    <w:sdtEndPr>
      <w:rPr>
        <w:rStyle w:val="PageNumber"/>
      </w:rPr>
    </w:sdtEndPr>
    <w:sdtContent>
      <w:p w14:paraId="011CD2DA" w14:textId="27F52A61" w:rsidR="001B10E0" w:rsidRDefault="001B10E0" w:rsidP="00E44D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A445F6" w14:textId="77777777" w:rsidR="001B10E0" w:rsidRDefault="001B10E0" w:rsidP="001B10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D1A54" w14:textId="77777777" w:rsidR="004C4BB6" w:rsidRDefault="004C4BB6" w:rsidP="001B10E0">
      <w:pPr>
        <w:spacing w:after="0"/>
      </w:pPr>
      <w:r>
        <w:separator/>
      </w:r>
    </w:p>
  </w:footnote>
  <w:footnote w:type="continuationSeparator" w:id="0">
    <w:p w14:paraId="68F36338" w14:textId="77777777" w:rsidR="004C4BB6" w:rsidRDefault="004C4BB6" w:rsidP="001B10E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CAB4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E647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D3A54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6EEA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A21A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BE3D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669A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29692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BA0DB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56019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9E700C"/>
    <w:multiLevelType w:val="hybridMultilevel"/>
    <w:tmpl w:val="C68EC46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724440"/>
    <w:multiLevelType w:val="hybridMultilevel"/>
    <w:tmpl w:val="3A285B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6676A3"/>
    <w:multiLevelType w:val="hybridMultilevel"/>
    <w:tmpl w:val="96687ECA"/>
    <w:lvl w:ilvl="0" w:tplc="A5B0BC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CF609F"/>
    <w:multiLevelType w:val="hybridMultilevel"/>
    <w:tmpl w:val="5A607F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FA157F"/>
    <w:multiLevelType w:val="hybridMultilevel"/>
    <w:tmpl w:val="7304C7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C67CBD"/>
    <w:multiLevelType w:val="hybridMultilevel"/>
    <w:tmpl w:val="431AA23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3F7CB9"/>
    <w:multiLevelType w:val="hybridMultilevel"/>
    <w:tmpl w:val="0B7AC45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CCB58F7"/>
    <w:multiLevelType w:val="hybridMultilevel"/>
    <w:tmpl w:val="65086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11"/>
  </w:num>
  <w:num w:numId="4">
    <w:abstractNumId w:val="14"/>
  </w:num>
  <w:num w:numId="5">
    <w:abstractNumId w:val="17"/>
  </w:num>
  <w:num w:numId="6">
    <w:abstractNumId w:val="15"/>
  </w:num>
  <w:num w:numId="7">
    <w:abstractNumId w:val="13"/>
  </w:num>
  <w:num w:numId="8">
    <w:abstractNumId w:val="12"/>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0F"/>
    <w:rsid w:val="00003C26"/>
    <w:rsid w:val="000068B8"/>
    <w:rsid w:val="00007888"/>
    <w:rsid w:val="000134CB"/>
    <w:rsid w:val="00014AE6"/>
    <w:rsid w:val="00034991"/>
    <w:rsid w:val="00036C08"/>
    <w:rsid w:val="00037CBB"/>
    <w:rsid w:val="00043DC1"/>
    <w:rsid w:val="000571CF"/>
    <w:rsid w:val="000B1FD8"/>
    <w:rsid w:val="000B4302"/>
    <w:rsid w:val="000C3436"/>
    <w:rsid w:val="000F6D5D"/>
    <w:rsid w:val="00107826"/>
    <w:rsid w:val="0011115B"/>
    <w:rsid w:val="00121FA8"/>
    <w:rsid w:val="00127F37"/>
    <w:rsid w:val="0013122C"/>
    <w:rsid w:val="001335CD"/>
    <w:rsid w:val="00135AC0"/>
    <w:rsid w:val="00142E20"/>
    <w:rsid w:val="00144D4E"/>
    <w:rsid w:val="001576DB"/>
    <w:rsid w:val="00182C31"/>
    <w:rsid w:val="00195CE0"/>
    <w:rsid w:val="001A20C1"/>
    <w:rsid w:val="001A44C0"/>
    <w:rsid w:val="001A7328"/>
    <w:rsid w:val="001B10E0"/>
    <w:rsid w:val="001B3079"/>
    <w:rsid w:val="001C3C9F"/>
    <w:rsid w:val="001C7C9C"/>
    <w:rsid w:val="001D6B23"/>
    <w:rsid w:val="001D72A6"/>
    <w:rsid w:val="001F6335"/>
    <w:rsid w:val="00203748"/>
    <w:rsid w:val="00205695"/>
    <w:rsid w:val="00207B8E"/>
    <w:rsid w:val="00213C1D"/>
    <w:rsid w:val="00214167"/>
    <w:rsid w:val="00214F36"/>
    <w:rsid w:val="0022610B"/>
    <w:rsid w:val="00226FBE"/>
    <w:rsid w:val="00241819"/>
    <w:rsid w:val="00262611"/>
    <w:rsid w:val="002757A3"/>
    <w:rsid w:val="00277AD5"/>
    <w:rsid w:val="002816DC"/>
    <w:rsid w:val="002830E7"/>
    <w:rsid w:val="0028518D"/>
    <w:rsid w:val="00285A42"/>
    <w:rsid w:val="00291E48"/>
    <w:rsid w:val="00296788"/>
    <w:rsid w:val="002A10E4"/>
    <w:rsid w:val="002A111A"/>
    <w:rsid w:val="002A3897"/>
    <w:rsid w:val="002A59FC"/>
    <w:rsid w:val="002A6F3B"/>
    <w:rsid w:val="002C14BA"/>
    <w:rsid w:val="002C232F"/>
    <w:rsid w:val="002C3084"/>
    <w:rsid w:val="002C3E0B"/>
    <w:rsid w:val="002D211C"/>
    <w:rsid w:val="002E4C67"/>
    <w:rsid w:val="002E65AD"/>
    <w:rsid w:val="002F1DB2"/>
    <w:rsid w:val="002F1F13"/>
    <w:rsid w:val="002F6829"/>
    <w:rsid w:val="00311EA0"/>
    <w:rsid w:val="00320103"/>
    <w:rsid w:val="0032012E"/>
    <w:rsid w:val="003227B9"/>
    <w:rsid w:val="00324A5E"/>
    <w:rsid w:val="00330E5D"/>
    <w:rsid w:val="00334C8D"/>
    <w:rsid w:val="00342C68"/>
    <w:rsid w:val="00344211"/>
    <w:rsid w:val="003465B7"/>
    <w:rsid w:val="00347EC2"/>
    <w:rsid w:val="0037227E"/>
    <w:rsid w:val="003773D0"/>
    <w:rsid w:val="003854C7"/>
    <w:rsid w:val="00386DCA"/>
    <w:rsid w:val="003873CC"/>
    <w:rsid w:val="0039275B"/>
    <w:rsid w:val="003A05C7"/>
    <w:rsid w:val="003A45C9"/>
    <w:rsid w:val="003A4A47"/>
    <w:rsid w:val="003A6010"/>
    <w:rsid w:val="003B38BC"/>
    <w:rsid w:val="003C7199"/>
    <w:rsid w:val="003C7FA9"/>
    <w:rsid w:val="003E0104"/>
    <w:rsid w:val="003E3FB4"/>
    <w:rsid w:val="003E7159"/>
    <w:rsid w:val="003F0EDE"/>
    <w:rsid w:val="003F1E53"/>
    <w:rsid w:val="00415E58"/>
    <w:rsid w:val="00421344"/>
    <w:rsid w:val="00430197"/>
    <w:rsid w:val="00431776"/>
    <w:rsid w:val="0044284A"/>
    <w:rsid w:val="004527EB"/>
    <w:rsid w:val="00461497"/>
    <w:rsid w:val="00467978"/>
    <w:rsid w:val="00486992"/>
    <w:rsid w:val="00497D40"/>
    <w:rsid w:val="004B0A33"/>
    <w:rsid w:val="004B3860"/>
    <w:rsid w:val="004B7CC9"/>
    <w:rsid w:val="004C4BB6"/>
    <w:rsid w:val="004C7CB2"/>
    <w:rsid w:val="004D303D"/>
    <w:rsid w:val="004D6436"/>
    <w:rsid w:val="00506CE8"/>
    <w:rsid w:val="005115AA"/>
    <w:rsid w:val="00512F22"/>
    <w:rsid w:val="005255E5"/>
    <w:rsid w:val="00525A5B"/>
    <w:rsid w:val="00526E5D"/>
    <w:rsid w:val="0053141D"/>
    <w:rsid w:val="0053705E"/>
    <w:rsid w:val="0054707C"/>
    <w:rsid w:val="00550B4A"/>
    <w:rsid w:val="0056002D"/>
    <w:rsid w:val="00560728"/>
    <w:rsid w:val="005718AB"/>
    <w:rsid w:val="00575554"/>
    <w:rsid w:val="00592127"/>
    <w:rsid w:val="005A416B"/>
    <w:rsid w:val="005B02A6"/>
    <w:rsid w:val="005B0357"/>
    <w:rsid w:val="005B2912"/>
    <w:rsid w:val="005C1B8C"/>
    <w:rsid w:val="005C2322"/>
    <w:rsid w:val="005D3AFF"/>
    <w:rsid w:val="005D59F6"/>
    <w:rsid w:val="005E1ED7"/>
    <w:rsid w:val="005E70B2"/>
    <w:rsid w:val="00602667"/>
    <w:rsid w:val="00605875"/>
    <w:rsid w:val="00613952"/>
    <w:rsid w:val="0062072E"/>
    <w:rsid w:val="00630E53"/>
    <w:rsid w:val="00634034"/>
    <w:rsid w:val="006422E2"/>
    <w:rsid w:val="0066378F"/>
    <w:rsid w:val="00663795"/>
    <w:rsid w:val="00663A2E"/>
    <w:rsid w:val="006A1997"/>
    <w:rsid w:val="006B3890"/>
    <w:rsid w:val="006B7E45"/>
    <w:rsid w:val="006D2B25"/>
    <w:rsid w:val="006E2620"/>
    <w:rsid w:val="006E5259"/>
    <w:rsid w:val="007021D5"/>
    <w:rsid w:val="00704B3D"/>
    <w:rsid w:val="00711856"/>
    <w:rsid w:val="007171D2"/>
    <w:rsid w:val="007232FF"/>
    <w:rsid w:val="0072335E"/>
    <w:rsid w:val="00725848"/>
    <w:rsid w:val="0072625A"/>
    <w:rsid w:val="007409A7"/>
    <w:rsid w:val="007428E5"/>
    <w:rsid w:val="0074487A"/>
    <w:rsid w:val="007458F9"/>
    <w:rsid w:val="0075363C"/>
    <w:rsid w:val="00754823"/>
    <w:rsid w:val="00760F28"/>
    <w:rsid w:val="00774C3A"/>
    <w:rsid w:val="007776C8"/>
    <w:rsid w:val="00782A32"/>
    <w:rsid w:val="007C5146"/>
    <w:rsid w:val="007C64A3"/>
    <w:rsid w:val="007D1CE5"/>
    <w:rsid w:val="007D1FD6"/>
    <w:rsid w:val="007E38F1"/>
    <w:rsid w:val="007E6D42"/>
    <w:rsid w:val="007F3FEF"/>
    <w:rsid w:val="007F4183"/>
    <w:rsid w:val="00802EB2"/>
    <w:rsid w:val="008073CE"/>
    <w:rsid w:val="00812BFA"/>
    <w:rsid w:val="00814A33"/>
    <w:rsid w:val="0081746C"/>
    <w:rsid w:val="00821886"/>
    <w:rsid w:val="00825F3F"/>
    <w:rsid w:val="008270CB"/>
    <w:rsid w:val="00832EAE"/>
    <w:rsid w:val="00834802"/>
    <w:rsid w:val="00840434"/>
    <w:rsid w:val="00852688"/>
    <w:rsid w:val="00874A05"/>
    <w:rsid w:val="00877B66"/>
    <w:rsid w:val="00880119"/>
    <w:rsid w:val="00882CC5"/>
    <w:rsid w:val="00886A60"/>
    <w:rsid w:val="00886F6D"/>
    <w:rsid w:val="008935CE"/>
    <w:rsid w:val="008A39A4"/>
    <w:rsid w:val="008B2384"/>
    <w:rsid w:val="008B6F71"/>
    <w:rsid w:val="008C509A"/>
    <w:rsid w:val="008D2D3D"/>
    <w:rsid w:val="008D5BC6"/>
    <w:rsid w:val="008E5CCA"/>
    <w:rsid w:val="008E717D"/>
    <w:rsid w:val="008E7C6B"/>
    <w:rsid w:val="008F4A50"/>
    <w:rsid w:val="00904325"/>
    <w:rsid w:val="009055E9"/>
    <w:rsid w:val="00912F16"/>
    <w:rsid w:val="00913D9F"/>
    <w:rsid w:val="009144E2"/>
    <w:rsid w:val="0092022F"/>
    <w:rsid w:val="009204DF"/>
    <w:rsid w:val="00924E0B"/>
    <w:rsid w:val="00927719"/>
    <w:rsid w:val="009326FF"/>
    <w:rsid w:val="009364E5"/>
    <w:rsid w:val="00942653"/>
    <w:rsid w:val="00954295"/>
    <w:rsid w:val="009549DA"/>
    <w:rsid w:val="00962943"/>
    <w:rsid w:val="009641C2"/>
    <w:rsid w:val="00981820"/>
    <w:rsid w:val="00987597"/>
    <w:rsid w:val="00995C18"/>
    <w:rsid w:val="009B022E"/>
    <w:rsid w:val="009B2CCF"/>
    <w:rsid w:val="009B4A7E"/>
    <w:rsid w:val="009B58AA"/>
    <w:rsid w:val="009C3487"/>
    <w:rsid w:val="009D17FA"/>
    <w:rsid w:val="009D210F"/>
    <w:rsid w:val="009D2831"/>
    <w:rsid w:val="009D2B98"/>
    <w:rsid w:val="009E0108"/>
    <w:rsid w:val="009E06AD"/>
    <w:rsid w:val="009E1AEF"/>
    <w:rsid w:val="009E43A1"/>
    <w:rsid w:val="009F481D"/>
    <w:rsid w:val="00A02A04"/>
    <w:rsid w:val="00A039C8"/>
    <w:rsid w:val="00A04C28"/>
    <w:rsid w:val="00A12EC0"/>
    <w:rsid w:val="00A15497"/>
    <w:rsid w:val="00A255C5"/>
    <w:rsid w:val="00A36557"/>
    <w:rsid w:val="00A55508"/>
    <w:rsid w:val="00A63297"/>
    <w:rsid w:val="00A667B7"/>
    <w:rsid w:val="00A8269C"/>
    <w:rsid w:val="00A83BA7"/>
    <w:rsid w:val="00A87912"/>
    <w:rsid w:val="00A9033C"/>
    <w:rsid w:val="00A9376F"/>
    <w:rsid w:val="00A9489E"/>
    <w:rsid w:val="00A9497C"/>
    <w:rsid w:val="00AC144E"/>
    <w:rsid w:val="00AD1800"/>
    <w:rsid w:val="00AD1DFD"/>
    <w:rsid w:val="00AD785B"/>
    <w:rsid w:val="00AD7AE3"/>
    <w:rsid w:val="00AE1E60"/>
    <w:rsid w:val="00B00F39"/>
    <w:rsid w:val="00B020EB"/>
    <w:rsid w:val="00B02156"/>
    <w:rsid w:val="00B14393"/>
    <w:rsid w:val="00B1719C"/>
    <w:rsid w:val="00B231BC"/>
    <w:rsid w:val="00B33495"/>
    <w:rsid w:val="00B35B9D"/>
    <w:rsid w:val="00B41C8E"/>
    <w:rsid w:val="00B424C3"/>
    <w:rsid w:val="00B4554E"/>
    <w:rsid w:val="00B47710"/>
    <w:rsid w:val="00B50AE3"/>
    <w:rsid w:val="00B54008"/>
    <w:rsid w:val="00B66B8B"/>
    <w:rsid w:val="00B81E0B"/>
    <w:rsid w:val="00B83680"/>
    <w:rsid w:val="00B854C4"/>
    <w:rsid w:val="00B87D11"/>
    <w:rsid w:val="00B932BD"/>
    <w:rsid w:val="00B965E1"/>
    <w:rsid w:val="00BA2925"/>
    <w:rsid w:val="00BA2D66"/>
    <w:rsid w:val="00BA4B55"/>
    <w:rsid w:val="00BB3CA3"/>
    <w:rsid w:val="00BC0B4D"/>
    <w:rsid w:val="00BC6DC3"/>
    <w:rsid w:val="00BD1DF3"/>
    <w:rsid w:val="00BD69A6"/>
    <w:rsid w:val="00BE2A96"/>
    <w:rsid w:val="00C12BE7"/>
    <w:rsid w:val="00C20240"/>
    <w:rsid w:val="00C25FB4"/>
    <w:rsid w:val="00C37864"/>
    <w:rsid w:val="00C42B6E"/>
    <w:rsid w:val="00C47149"/>
    <w:rsid w:val="00C5146D"/>
    <w:rsid w:val="00C65DBE"/>
    <w:rsid w:val="00C7035D"/>
    <w:rsid w:val="00C72C59"/>
    <w:rsid w:val="00C7384C"/>
    <w:rsid w:val="00C77234"/>
    <w:rsid w:val="00C81026"/>
    <w:rsid w:val="00C86280"/>
    <w:rsid w:val="00C9364B"/>
    <w:rsid w:val="00C94F58"/>
    <w:rsid w:val="00CA31EE"/>
    <w:rsid w:val="00CB0E5F"/>
    <w:rsid w:val="00CB1048"/>
    <w:rsid w:val="00CB3268"/>
    <w:rsid w:val="00CB4916"/>
    <w:rsid w:val="00CB50EF"/>
    <w:rsid w:val="00CC0A01"/>
    <w:rsid w:val="00CC102C"/>
    <w:rsid w:val="00CC6AE4"/>
    <w:rsid w:val="00CD7451"/>
    <w:rsid w:val="00CE0612"/>
    <w:rsid w:val="00CE0EF8"/>
    <w:rsid w:val="00D02ECF"/>
    <w:rsid w:val="00D0665A"/>
    <w:rsid w:val="00D0739D"/>
    <w:rsid w:val="00D15174"/>
    <w:rsid w:val="00D154DF"/>
    <w:rsid w:val="00D23A11"/>
    <w:rsid w:val="00D23AAC"/>
    <w:rsid w:val="00D24AAE"/>
    <w:rsid w:val="00D4241A"/>
    <w:rsid w:val="00D42456"/>
    <w:rsid w:val="00D443DB"/>
    <w:rsid w:val="00D56F7E"/>
    <w:rsid w:val="00D65093"/>
    <w:rsid w:val="00D6567B"/>
    <w:rsid w:val="00D67DF3"/>
    <w:rsid w:val="00D8256D"/>
    <w:rsid w:val="00D85AB6"/>
    <w:rsid w:val="00D946FE"/>
    <w:rsid w:val="00DA4E3E"/>
    <w:rsid w:val="00DA757E"/>
    <w:rsid w:val="00DB020F"/>
    <w:rsid w:val="00DB4605"/>
    <w:rsid w:val="00DC5070"/>
    <w:rsid w:val="00DD00ED"/>
    <w:rsid w:val="00DD1B06"/>
    <w:rsid w:val="00DD7B04"/>
    <w:rsid w:val="00DF0726"/>
    <w:rsid w:val="00E002C7"/>
    <w:rsid w:val="00E005A0"/>
    <w:rsid w:val="00E12D2B"/>
    <w:rsid w:val="00E22F36"/>
    <w:rsid w:val="00E237E9"/>
    <w:rsid w:val="00E42B76"/>
    <w:rsid w:val="00E44EEF"/>
    <w:rsid w:val="00E451AA"/>
    <w:rsid w:val="00E543B1"/>
    <w:rsid w:val="00E62DED"/>
    <w:rsid w:val="00E65E0C"/>
    <w:rsid w:val="00E72E97"/>
    <w:rsid w:val="00E83124"/>
    <w:rsid w:val="00E93DEC"/>
    <w:rsid w:val="00E93F04"/>
    <w:rsid w:val="00E94E5B"/>
    <w:rsid w:val="00EA15BD"/>
    <w:rsid w:val="00EB00B0"/>
    <w:rsid w:val="00EB486A"/>
    <w:rsid w:val="00EC530A"/>
    <w:rsid w:val="00EC5CD6"/>
    <w:rsid w:val="00EC674E"/>
    <w:rsid w:val="00ED5F1E"/>
    <w:rsid w:val="00ED6509"/>
    <w:rsid w:val="00EE4068"/>
    <w:rsid w:val="00EF10C1"/>
    <w:rsid w:val="00EF3AA1"/>
    <w:rsid w:val="00F00823"/>
    <w:rsid w:val="00F041D4"/>
    <w:rsid w:val="00F0478D"/>
    <w:rsid w:val="00F17FD8"/>
    <w:rsid w:val="00F24F34"/>
    <w:rsid w:val="00F2660F"/>
    <w:rsid w:val="00F270F8"/>
    <w:rsid w:val="00F33FFA"/>
    <w:rsid w:val="00F34778"/>
    <w:rsid w:val="00F34C24"/>
    <w:rsid w:val="00F37B78"/>
    <w:rsid w:val="00F46291"/>
    <w:rsid w:val="00F617D5"/>
    <w:rsid w:val="00F6626C"/>
    <w:rsid w:val="00F74288"/>
    <w:rsid w:val="00F80802"/>
    <w:rsid w:val="00F94F87"/>
    <w:rsid w:val="00FA3763"/>
    <w:rsid w:val="00FA5DBF"/>
    <w:rsid w:val="00FB0795"/>
    <w:rsid w:val="00FB0ED6"/>
    <w:rsid w:val="00FC05FF"/>
    <w:rsid w:val="00FC58AB"/>
    <w:rsid w:val="00FC6F77"/>
    <w:rsid w:val="00FE0187"/>
    <w:rsid w:val="00FE4180"/>
    <w:rsid w:val="00FE6703"/>
    <w:rsid w:val="00FF0942"/>
    <w:rsid w:val="00FF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D972F"/>
  <w15:chartTrackingRefBased/>
  <w15:docId w15:val="{717C9A62-2E29-47FA-B766-27534FDE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890"/>
    <w:pPr>
      <w:spacing w:line="240" w:lineRule="auto"/>
    </w:pPr>
    <w:rPr>
      <w:rFonts w:ascii="Clear Sans" w:hAnsi="Clear Sans"/>
      <w:color w:val="2E2F31"/>
      <w:sz w:val="18"/>
    </w:rPr>
  </w:style>
  <w:style w:type="paragraph" w:styleId="Heading1">
    <w:name w:val="heading 1"/>
    <w:basedOn w:val="Normal"/>
    <w:next w:val="Normal"/>
    <w:link w:val="Heading1Char"/>
    <w:uiPriority w:val="9"/>
    <w:qFormat/>
    <w:rsid w:val="0028518D"/>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8518D"/>
    <w:pPr>
      <w:keepNext/>
      <w:keepLines/>
      <w:spacing w:before="240" w:after="0"/>
      <w:outlineLvl w:val="1"/>
    </w:pPr>
    <w:rPr>
      <w:rFonts w:eastAsiaTheme="majorEastAsia" w:cstheme="majorBidi"/>
      <w:b/>
      <w:caps/>
      <w:sz w:val="26"/>
      <w:szCs w:val="26"/>
    </w:rPr>
  </w:style>
  <w:style w:type="paragraph" w:styleId="Heading3">
    <w:name w:val="heading 3"/>
    <w:basedOn w:val="Normal"/>
    <w:next w:val="Normal"/>
    <w:link w:val="Heading3Char"/>
    <w:uiPriority w:val="9"/>
    <w:unhideWhenUsed/>
    <w:qFormat/>
    <w:rsid w:val="00605875"/>
    <w:pPr>
      <w:keepNext/>
      <w:keepLines/>
      <w:spacing w:before="240" w:after="6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2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210F"/>
    <w:rPr>
      <w:rFonts w:ascii="Courier New" w:eastAsia="Times New Roman" w:hAnsi="Courier New" w:cs="Courier New"/>
      <w:sz w:val="20"/>
      <w:szCs w:val="20"/>
    </w:rPr>
  </w:style>
  <w:style w:type="character" w:customStyle="1" w:styleId="gnkrckgcgsb">
    <w:name w:val="gnkrckgcgsb"/>
    <w:basedOn w:val="DefaultParagraphFont"/>
    <w:rsid w:val="009D210F"/>
  </w:style>
  <w:style w:type="table" w:styleId="TableGrid">
    <w:name w:val="Table Grid"/>
    <w:basedOn w:val="TableNormal"/>
    <w:uiPriority w:val="39"/>
    <w:rsid w:val="009D2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518D"/>
    <w:rPr>
      <w:rFonts w:ascii="Clear Sans" w:eastAsiaTheme="majorEastAsia" w:hAnsi="Clear Sans" w:cstheme="majorBidi"/>
      <w:b/>
      <w:color w:val="2E2F31"/>
      <w:sz w:val="32"/>
      <w:szCs w:val="32"/>
    </w:rPr>
  </w:style>
  <w:style w:type="paragraph" w:styleId="ListParagraph">
    <w:name w:val="List Paragraph"/>
    <w:basedOn w:val="Normal"/>
    <w:uiPriority w:val="34"/>
    <w:qFormat/>
    <w:rsid w:val="00877B66"/>
    <w:pPr>
      <w:ind w:left="720"/>
      <w:contextualSpacing/>
    </w:pPr>
  </w:style>
  <w:style w:type="table" w:styleId="TableGridLight">
    <w:name w:val="Grid Table Light"/>
    <w:basedOn w:val="TableNormal"/>
    <w:uiPriority w:val="40"/>
    <w:rsid w:val="006340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63403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61395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28518D"/>
    <w:rPr>
      <w:rFonts w:ascii="Clear Sans" w:eastAsiaTheme="majorEastAsia" w:hAnsi="Clear Sans" w:cstheme="majorBidi"/>
      <w:b/>
      <w:caps/>
      <w:color w:val="2E2F31"/>
      <w:sz w:val="26"/>
      <w:szCs w:val="26"/>
    </w:rPr>
  </w:style>
  <w:style w:type="character" w:customStyle="1" w:styleId="Heading3Char">
    <w:name w:val="Heading 3 Char"/>
    <w:basedOn w:val="DefaultParagraphFont"/>
    <w:link w:val="Heading3"/>
    <w:uiPriority w:val="9"/>
    <w:rsid w:val="00605875"/>
    <w:rPr>
      <w:rFonts w:ascii="Clear Sans" w:eastAsiaTheme="majorEastAsia" w:hAnsi="Clear Sans" w:cstheme="majorBidi"/>
      <w:b/>
      <w:color w:val="2E2F31"/>
      <w:sz w:val="24"/>
      <w:szCs w:val="24"/>
    </w:rPr>
  </w:style>
  <w:style w:type="table" w:styleId="GridTable4-Accent3">
    <w:name w:val="Grid Table 4 Accent 3"/>
    <w:basedOn w:val="TableNormal"/>
    <w:uiPriority w:val="49"/>
    <w:rsid w:val="00EA15B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28518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odyText">
    <w:name w:val="Body Text"/>
    <w:basedOn w:val="Normal"/>
    <w:link w:val="BodyTextChar"/>
    <w:uiPriority w:val="99"/>
    <w:unhideWhenUsed/>
    <w:rsid w:val="001B10E0"/>
    <w:pPr>
      <w:spacing w:before="60" w:after="120"/>
    </w:pPr>
    <w:rPr>
      <w:rFonts w:ascii="Clear Sans Light" w:hAnsi="Clear Sans Light"/>
      <w:sz w:val="17"/>
    </w:rPr>
  </w:style>
  <w:style w:type="character" w:customStyle="1" w:styleId="BodyTextChar">
    <w:name w:val="Body Text Char"/>
    <w:basedOn w:val="DefaultParagraphFont"/>
    <w:link w:val="BodyText"/>
    <w:uiPriority w:val="99"/>
    <w:rsid w:val="001B10E0"/>
    <w:rPr>
      <w:rFonts w:ascii="Clear Sans Light" w:hAnsi="Clear Sans Light"/>
      <w:color w:val="2E2F31"/>
      <w:sz w:val="17"/>
    </w:rPr>
  </w:style>
  <w:style w:type="character" w:styleId="Strong">
    <w:name w:val="Strong"/>
    <w:basedOn w:val="DefaultParagraphFont"/>
    <w:uiPriority w:val="22"/>
    <w:qFormat/>
    <w:rsid w:val="00B35B9D"/>
    <w:rPr>
      <w:b/>
      <w:bCs/>
    </w:rPr>
  </w:style>
  <w:style w:type="paragraph" w:styleId="Footer">
    <w:name w:val="footer"/>
    <w:basedOn w:val="Normal"/>
    <w:link w:val="FooterChar"/>
    <w:uiPriority w:val="99"/>
    <w:unhideWhenUsed/>
    <w:rsid w:val="001B10E0"/>
    <w:pPr>
      <w:tabs>
        <w:tab w:val="center" w:pos="4513"/>
        <w:tab w:val="right" w:pos="9026"/>
      </w:tabs>
      <w:spacing w:after="0"/>
    </w:pPr>
  </w:style>
  <w:style w:type="character" w:customStyle="1" w:styleId="FooterChar">
    <w:name w:val="Footer Char"/>
    <w:basedOn w:val="DefaultParagraphFont"/>
    <w:link w:val="Footer"/>
    <w:uiPriority w:val="99"/>
    <w:rsid w:val="001B10E0"/>
    <w:rPr>
      <w:rFonts w:ascii="Clear Sans" w:hAnsi="Clear Sans"/>
      <w:color w:val="2E2F31"/>
      <w:sz w:val="18"/>
    </w:rPr>
  </w:style>
  <w:style w:type="character" w:styleId="PageNumber">
    <w:name w:val="page number"/>
    <w:basedOn w:val="DefaultParagraphFont"/>
    <w:uiPriority w:val="99"/>
    <w:semiHidden/>
    <w:unhideWhenUsed/>
    <w:rsid w:val="001B1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13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dc:creator>
  <cp:keywords/>
  <dc:description/>
  <cp:lastModifiedBy>Clare Murray</cp:lastModifiedBy>
  <cp:revision>2</cp:revision>
  <cp:lastPrinted>2018-08-13T09:02:00Z</cp:lastPrinted>
  <dcterms:created xsi:type="dcterms:W3CDTF">2019-06-21T14:42:00Z</dcterms:created>
  <dcterms:modified xsi:type="dcterms:W3CDTF">2019-06-21T14:42:00Z</dcterms:modified>
</cp:coreProperties>
</file>