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4E323">
      <w:pPr>
        <w:spacing w:line="48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34C2CCC7">
      <w:pPr>
        <w:spacing w:line="48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累计雨量大，强降水过程多。</w:t>
      </w:r>
      <w:r>
        <w:rPr>
          <w:rFonts w:hint="eastAsia" w:ascii="方正仿宋_GBK" w:eastAsia="方正仿宋_GBK"/>
          <w:spacing w:val="-6"/>
          <w:sz w:val="32"/>
          <w:szCs w:val="32"/>
        </w:rPr>
        <w:t>入汛以来，我市降水显著偏多，4月1日08时～24日08时，全市平均降水量290.4毫米，较常年同期（163.6毫米）偏多8成，较四月常年同期（210.8毫米）偏多4成。其中，强降水主要集中在1～4日、13～14日、15～16日和19～20日。</w:t>
      </w:r>
    </w:p>
    <w:p w14:paraId="320A9305">
      <w:pPr>
        <w:spacing w:line="48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强对流频繁，致灾性强。</w:t>
      </w:r>
      <w:r>
        <w:rPr>
          <w:rFonts w:hint="eastAsia" w:ascii="方正仿宋_GBK" w:eastAsia="方正仿宋_GBK"/>
          <w:spacing w:val="-6"/>
          <w:sz w:val="32"/>
          <w:szCs w:val="32"/>
        </w:rPr>
        <w:t>4月1～3日、13～14日和15～16日我市出现了3次区域性强对流天气，均伴有冰雹与大风，突破同期历史记录。冰雹直径以袁州区城区6厘米为最大；大风以丰城市筱塘乡站11级（31.2米/秒）为最大；1小时雨强以丰城市筱塘乡站94.1毫米为最大。</w:t>
      </w:r>
    </w:p>
    <w:p w14:paraId="01BE32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66508CB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