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A4FBE">
      <w:pPr>
        <w:spacing w:line="56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18F269A9">
      <w:pPr>
        <w:adjustRightInd w:val="0"/>
        <w:snapToGrid w:val="0"/>
        <w:spacing w:line="56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b/>
          <w:kern w:val="0"/>
          <w:sz w:val="32"/>
          <w:szCs w:val="32"/>
        </w:rPr>
        <w:t>降水偏少，气温偏高。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12月以来，全市平均降雨量8.3毫米，较常年同期偏少6.7成，县级以万载县19.0毫米为最多，丰城市1.2毫米为最少；全市平均气温10.7℃，较常年同期偏高1.8℃，为1961年以来历史同期第7高位（最高出现在1968年，16.7℃）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 xml:space="preserve"> </w:t>
      </w:r>
    </w:p>
    <w:p w14:paraId="272599F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79626E2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