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8D0B1">
      <w:pPr>
        <w:spacing w:line="520" w:lineRule="exact"/>
        <w:ind w:firstLine="640" w:firstLineChars="200"/>
        <w:rPr>
          <w:rFonts w:ascii="方正仿宋_GBK" w:eastAsia="方正仿宋_GBK"/>
          <w:b/>
          <w:spacing w:val="-6"/>
          <w:sz w:val="32"/>
          <w:szCs w:val="32"/>
        </w:rPr>
      </w:pPr>
      <w:r>
        <w:rPr>
          <w:rFonts w:hint="eastAsia" w:ascii="方正黑体_GBK" w:eastAsia="方正黑体_GBK"/>
          <w:b/>
          <w:sz w:val="32"/>
          <w:szCs w:val="32"/>
        </w:rPr>
        <w:t>一、1日以来降雨及强对流实况</w:t>
      </w:r>
    </w:p>
    <w:p w14:paraId="12271875">
      <w:pPr>
        <w:spacing w:line="52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4月1日07时</w:t>
      </w:r>
      <w:r>
        <w:rPr>
          <w:rFonts w:hint="eastAsia" w:ascii="宋体" w:hAnsi="宋体"/>
          <w:spacing w:val="-6"/>
          <w:sz w:val="32"/>
          <w:szCs w:val="32"/>
        </w:rPr>
        <w:t>～</w:t>
      </w:r>
      <w:r>
        <w:rPr>
          <w:rFonts w:hint="eastAsia" w:ascii="方正仿宋_GBK" w:eastAsia="方正仿宋_GBK"/>
          <w:spacing w:val="-6"/>
          <w:sz w:val="32"/>
          <w:szCs w:val="32"/>
        </w:rPr>
        <w:t>3日10时，全市平均降雨量88.0毫米，县（市、区）平均降雨量前3位为：奉新县164.8毫米，铜鼓县144.1毫米，宜丰县108.3毫米； 6县（市、区）的83站出现大暴雨，乡镇站点最大降雨量前3位为：铜鼓县高桥乡高桥站243.4毫米，铜鼓县三都镇东浒村站222.9毫米，铜鼓县大塅镇大塅站215.9毫米；</w:t>
      </w:r>
      <w:r>
        <w:rPr>
          <w:rFonts w:hint="eastAsia" w:ascii="方正仿宋_GBK" w:eastAsia="方正仿宋_GBK" w:hAnsiTheme="minorHAnsi"/>
          <w:spacing w:val="-6"/>
          <w:sz w:val="32"/>
          <w:szCs w:val="32"/>
        </w:rPr>
        <w:t>6县（市、区）的28个测站出现1小时30毫米以上短时强降雨，小时雨强以铜鼓县排埠镇站57.7毫米为最大</w:t>
      </w:r>
      <w:r>
        <w:rPr>
          <w:rFonts w:hint="eastAsia" w:ascii="方正仿宋_GBK" w:eastAsia="方正仿宋_GBK"/>
          <w:spacing w:val="-6"/>
          <w:sz w:val="32"/>
          <w:szCs w:val="32"/>
        </w:rPr>
        <w:t>，与前期预报基本吻合。</w:t>
      </w:r>
      <w:bookmarkStart w:id="0" w:name="_GoBack"/>
      <w:bookmarkEnd w:id="0"/>
    </w:p>
    <w:p w14:paraId="38F0EF3F">
      <w:pPr>
        <w:spacing w:line="48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过程伴有明显雷雨大风和冰雹，</w:t>
      </w:r>
      <w:r>
        <w:rPr>
          <w:rFonts w:hint="eastAsia" w:ascii="方正仿宋_GBK" w:eastAsia="方正仿宋_GBK" w:hAnsiTheme="minorHAnsi"/>
          <w:spacing w:val="-6"/>
          <w:sz w:val="32"/>
          <w:szCs w:val="32"/>
        </w:rPr>
        <w:t>6个县（市、区）的47个测站出现8级及以上阵风，4个县（市、区）的9个测站出现10级及以上阵风，</w:t>
      </w:r>
      <w:r>
        <w:rPr>
          <w:rFonts w:hint="eastAsia" w:ascii="方正仿宋_GBK" w:eastAsia="方正仿宋_GBK"/>
          <w:spacing w:val="-6"/>
          <w:sz w:val="32"/>
          <w:szCs w:val="32"/>
        </w:rPr>
        <w:t>主要出现在南部，</w:t>
      </w:r>
      <w:r>
        <w:rPr>
          <w:rFonts w:hint="eastAsia" w:ascii="方正仿宋_GBK" w:eastAsia="方正仿宋_GBK" w:hAnsiTheme="minorHAnsi"/>
          <w:spacing w:val="-6"/>
          <w:sz w:val="32"/>
          <w:szCs w:val="32"/>
        </w:rPr>
        <w:t>以丰城市小港站11级（30.1米/秒）为最大，丰城市湖塘站11级（29.8米/秒）次之</w:t>
      </w:r>
      <w:r>
        <w:rPr>
          <w:rFonts w:hint="eastAsia" w:ascii="方正仿宋_GBK" w:eastAsia="方正仿宋_GBK"/>
          <w:spacing w:val="-6"/>
          <w:sz w:val="32"/>
          <w:szCs w:val="32"/>
        </w:rPr>
        <w:t>；全市出现强雷电，总次数达17005；袁州、奉新、上高、高安、靖安出现冰雹。</w:t>
      </w:r>
    </w:p>
    <w:p w14:paraId="31E245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黑体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C141B"/>
    <w:rsid w:val="12C2124C"/>
    <w:rsid w:val="385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