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93FF1">
      <w:pPr>
        <w:keepNext w:val="0"/>
        <w:keepLines w:val="0"/>
        <w:widowControl/>
        <w:suppressLineNumbers w:val="0"/>
        <w:jc w:val="left"/>
      </w:pPr>
      <w:r>
        <w:rPr>
          <w:rFonts w:ascii="方正黑体_GBK" w:hAnsi="方正黑体_GBK" w:eastAsia="方正黑体_GBK" w:cs="方正黑体_GBK"/>
          <w:color w:val="000000"/>
          <w:kern w:val="0"/>
          <w:sz w:val="31"/>
          <w:szCs w:val="31"/>
          <w:lang w:val="en-US" w:eastAsia="zh-CN" w:bidi="ar"/>
        </w:rPr>
        <w:t xml:space="preserve">一、天气形势特征 </w:t>
      </w:r>
    </w:p>
    <w:p w14:paraId="1A588448">
      <w:pPr>
        <w:keepNext w:val="0"/>
        <w:keepLines w:val="0"/>
        <w:widowControl/>
        <w:suppressLineNumbers w:val="0"/>
        <w:jc w:val="left"/>
      </w:pPr>
      <w:r>
        <w:rPr>
          <w:rFonts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从天气形势特征来看，未来 10 天副高偏强，南支低槽活 </w:t>
      </w:r>
    </w:p>
    <w:p w14:paraId="791F9996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跃，孟加拉湾和南海向长江流域输送大量水汽，同时，北极极 </w:t>
      </w:r>
    </w:p>
    <w:p w14:paraId="177CB38D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涡发展，冷空气活跃，冷暖空气在华中和华东对峙，将带来连 </w:t>
      </w:r>
    </w:p>
    <w:p w14:paraId="6394B3CF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>续降雨天气。其中 1 月 31 日和 2 月 4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～</w:t>
      </w: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5 日系统较强，预计 </w:t>
      </w:r>
    </w:p>
    <w:p w14:paraId="7D4446E4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>降雨强度较大，可能出现冬季罕见暴雨天气。</w:t>
      </w:r>
    </w:p>
    <w:p w14:paraId="1A621C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68A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