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D6B7C">
      <w:pPr>
        <w:spacing w:line="42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6650FA16">
      <w:pPr>
        <w:widowControl/>
        <w:spacing w:line="420" w:lineRule="exact"/>
        <w:ind w:firstLine="616" w:firstLineChars="200"/>
        <w:jc w:val="left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3月23～25日我市出现了大范围雷电、大风、短时强降水、冰雹等强对流天气。点最大降雨为靖安县雷公尖乡水口站与铜鼓县排埠镇排埠镇站（51.3毫米）。5县（市、区）的13 个测站出现1小时 20毫米及以上短时强降雨，以奉新县噪下村站36.9毫米为最大。各县区均出现雷电，雷电次数共计642次。 7个县（市、区）的20个测站出现8级及以上阵风，以樟树市洞塘站9级（21.1米/秒）为最大。23日铜鼓县出现小冰雹。</w:t>
      </w:r>
    </w:p>
    <w:p w14:paraId="40606A7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144E0409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