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System Specification</w:t>
      </w:r>
    </w:p>
    <w:p>
      <w:r>
        <w:t>Document ID: SPEC-2026-001</w:t>
      </w:r>
    </w:p>
    <w:p>
      <w:r>
        <w:t>This specification captures requirements for the Example System. Subsequent sections describe each subsystem in the standard 2-column table format used across the program.</w:t>
      </w:r>
    </w:p>
    <w:p>
      <w:pPr>
        <w:pStyle w:val="Heading1"/>
      </w:pPr>
      <w:r>
        <w:t>3. System Requirements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3.1 Authentication</w:t>
            </w:r>
          </w:p>
        </w:tc>
        <w:tc>
          <w:tcPr>
            <w:tcW w:type="dxa" w:w="4320"/>
          </w:tcPr>
          <w:p>
            <w:pPr>
              <w:pStyle w:val="Heading2"/>
            </w:pPr>
            <w:r/>
            <w:r>
              <w:t>3.1 Authentication</w:t>
            </w:r>
          </w:p>
          <w:p>
            <w:r>
              <w:t>Access control is handled by the Auth Service.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 Service</w:t>
            </w:r>
          </w:p>
        </w:tc>
        <w:tc>
          <w:tcPr>
            <w:tcW w:type="dxa" w:w="4320"/>
          </w:tcPr>
          <w:p>
            <w:r/>
            <w:r>
              <w:t>The Auth Service shall authenticate every user before granting access to protected resources.</w:t>
            </w:r>
          </w:p>
          <w:p>
            <w:r>
              <w:t>Failed login attempts must be rate-limited to five per minute per account.</w:t>
            </w:r>
          </w:p>
          <w:p>
            <w:r>
              <w:t>Passwords should be hashed with bcrypt.</w:t>
            </w:r>
          </w:p>
          <w:p>
            <w:pPr>
              <w:pStyle w:val="ListBullet"/>
            </w:pPr>
            <w:r>
              <w:t>Sessions will expire after 30 minutes of inactivity.</w:t>
            </w:r>
          </w:p>
          <w:p>
            <w:pPr>
              <w:pStyle w:val="ListBullet"/>
            </w:pPr>
            <w:r>
              <w:t>The Auth Service may cache public keys for up to one hour.</w:t>
            </w:r>
          </w:p>
          <w:p>
            <w:pPr>
              <w:pStyle w:val="ListBullet"/>
            </w:pPr>
            <w:r>
              <w:t>Ground Control can override a lockout for operational emergencies.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3.2 Telemetry</w:t>
            </w:r>
          </w:p>
        </w:tc>
        <w:tc>
          <w:tcPr>
            <w:tcW w:type="dxa" w:w="4320"/>
          </w:tcPr>
          <w:p>
            <w:pPr>
              <w:pStyle w:val="Heading2"/>
            </w:pPr>
            <w:r/>
            <w:r>
              <w:t>3.2 Telemetry</w:t>
            </w:r>
          </w:p>
          <w:p>
            <w:r>
              <w:t>This section describes telemetry handling across subsystems.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Flight Software</w:t>
            </w:r>
          </w:p>
        </w:tc>
        <w:tc>
          <w:tcPr>
            <w:tcW w:type="dxa" w:w="4320"/>
          </w:tcPr>
          <w:p>
            <w:r/>
            <w:r>
              <w:t>The Flight Software shall transmit telemetry packets to Ground Control at 1 Hz during nominal operations.</w:t>
            </w:r>
          </w:p>
          <w:p>
            <w:r>
              <w:t>Telemetry packets must include a timestamp, health bits, and a CRC-32 checksum.</w:t>
            </w:r>
          </w:p>
          <w:p>
            <w:r>
              <w:t>During safe mode, FSW should reduce telemetry rate to 0.1 Hz to conserve bandwidth.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Packet Type</w:t>
                  </w:r>
                </w:p>
              </w:tc>
              <w:tc>
                <w:tcPr>
                  <w:tcW w:type="dxa" w:w="1440"/>
                </w:tcPr>
                <w:p>
                  <w:r>
                    <w:t>Contents</w:t>
                  </w:r>
                </w:p>
              </w:tc>
              <w:tc>
                <w:tcPr>
                  <w:tcW w:type="dxa" w:w="1440"/>
                </w:tcPr>
                <w:p>
                  <w:r>
                    <w:t>Rate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Health</w:t>
                  </w:r>
                </w:p>
              </w:tc>
              <w:tc>
                <w:tcPr>
                  <w:tcW w:type="dxa" w:w="1440"/>
                </w:tcPr>
                <w:p>
                  <w:r>
                    <w:t>Health bits + CRC</w:t>
                  </w:r>
                </w:p>
              </w:tc>
              <w:tc>
                <w:tcPr>
                  <w:tcW w:type="dxa" w:w="1440"/>
                </w:tcPr>
                <w:p>
                  <w:r>
                    <w:t>1 Hz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Housekeeping</w:t>
                  </w:r>
                </w:p>
              </w:tc>
              <w:tc>
                <w:tcPr>
                  <w:tcW w:type="dxa" w:w="1440"/>
                </w:tcPr>
                <w:p>
                  <w:r>
                    <w:t>Temps, voltages</w:t>
                  </w:r>
                </w:p>
              </w:tc>
              <w:tc>
                <w:tcPr>
                  <w:tcW w:type="dxa" w:w="1440"/>
                </w:tcPr>
                <w:p>
                  <w:r>
                    <w:t>0.2 Hz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Event</w:t>
                  </w:r>
                </w:p>
              </w:tc>
              <w:tc>
                <w:tcPr>
                  <w:tcW w:type="dxa" w:w="1440"/>
                </w:tcPr>
                <w:p>
                  <w:r>
                    <w:t>Logged events</w:t>
                  </w:r>
                </w:p>
              </w:tc>
              <w:tc>
                <w:tcPr>
                  <w:tcW w:type="dxa" w:w="1440"/>
                </w:tcPr>
                <w:p>
                  <w:r>
                    <w:t>On event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Ground Control</w:t>
            </w:r>
          </w:p>
        </w:tc>
        <w:tc>
          <w:tcPr>
            <w:tcW w:type="dxa" w:w="4320"/>
          </w:tcPr>
          <w:p>
            <w:r/>
            <w:r>
              <w:t>Ground Control shall acknowledge every telemetry burst within 3 seconds.</w:t>
            </w:r>
          </w:p>
          <w:p>
            <w:r>
              <w:t>Mission Control may request on-demand housekeeping packets during pass windows.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3.3 Payload Operations</w:t>
            </w:r>
          </w:p>
        </w:tc>
        <w:tc>
          <w:tcPr>
            <w:tcW w:type="dxa" w:w="4320"/>
          </w:tcPr>
          <w:p>
            <w:pPr>
              <w:pStyle w:val="Heading2"/>
            </w:pPr>
            <w:r/>
            <w:r>
              <w:t>3.3 Payload Operations</w:t>
            </w:r>
          </w:p>
          <w:p>
            <w:r>
              <w:t>Payload activities are coordinated between Payload Operator and Flight Software.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Payload Operator</w:t>
            </w:r>
          </w:p>
        </w:tc>
        <w:tc>
          <w:tcPr>
            <w:tcW w:type="dxa" w:w="4320"/>
          </w:tcPr>
          <w:p>
            <w:r/>
            <w:r>
              <w:t>The Payload Operator shall schedule imaging tasks at least 24 hours in advance.</w:t>
            </w:r>
          </w:p>
          <w:p>
            <w:pPr>
              <w:pStyle w:val="ListBullet"/>
            </w:pPr>
            <w:r>
              <w:t>Emergency tasking requests must be routed through Ground Control.</w:t>
            </w:r>
          </w:p>
          <w:p>
            <w:pPr>
              <w:pStyle w:val="ListBullet"/>
            </w:pPr>
            <w:r>
              <w:t>PL Op should verify target coordinates before uploading a task.</w:t>
            </w:r>
          </w:p>
          <w:p>
            <w:r>
              <w:t>Note: this paragraph contains no requirement keywords and should not appear in the output.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