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Compound OR list</w:t>
      </w:r>
    </w:p>
    <w:p>
      <w:r>
        <w:t>Document ID: PROC-COMP-002</w:t>
      </w:r>
    </w:p>
    <w:p>
      <w:r>
        <w:t>Synthetic fixture: any-of disjunction.  Items end with `or` to signal the connector.</w:t>
      </w:r>
    </w:p>
    <w:p>
      <w:pPr>
        <w:pStyle w:val="Heading1"/>
      </w:pPr>
      <w:r>
        <w:t>2. Notification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Operations must notify the on-call supervisor if any of the following occur:</w:t>
            </w:r>
          </w:p>
          <w:p>
            <w:pPr>
              <w:pStyle w:val="ListBullet"/>
            </w:pPr>
            <w:r>
              <w:t>subsystem latency exceeds 200 ms, or</w:t>
            </w:r>
          </w:p>
          <w:p>
            <w:pPr>
              <w:pStyle w:val="ListBullet"/>
            </w:pPr>
            <w:r>
              <w:t>error budget burn-rate doubles within a 5-minute window, or</w:t>
            </w:r>
          </w:p>
          <w:p>
            <w:pPr>
              <w:pStyle w:val="ListBullet"/>
            </w:pPr>
            <w:r>
              <w:t>synthetic monitor returns a non-2xx response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