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 — Mixed list markers</w:t>
      </w:r>
    </w:p>
    <w:p>
      <w:r>
        <w:t>Document ID: PROC-COMP-003</w:t>
      </w:r>
    </w:p>
    <w:p>
      <w:r>
        <w:t>Numbered list with a hand-typed dash item appended.  Both marker styles must be claimed by the same compound group.</w:t>
      </w:r>
    </w:p>
    <w:p>
      <w:pPr>
        <w:pStyle w:val="Heading1"/>
      </w:pPr>
      <w:r>
        <w:t>3. Pre-flight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Pilot</w:t>
            </w:r>
          </w:p>
        </w:tc>
        <w:tc>
          <w:tcPr>
            <w:tcW w:type="dxa" w:w="4320"/>
          </w:tcPr>
          <w:p>
            <w:r>
              <w:t>The Pilot shall complete the following pre-flight checks before takeoff:</w:t>
            </w:r>
          </w:p>
          <w:p>
            <w:pPr>
              <w:pStyle w:val="ListNumber"/>
            </w:pPr>
            <w:r>
              <w:t>verify fuel reserves match the flight plan, and</w:t>
            </w:r>
          </w:p>
          <w:p>
            <w:pPr>
              <w:pStyle w:val="ListNumber"/>
            </w:pPr>
            <w:r>
              <w:t>confirm all control surfaces respond freely, and</w:t>
            </w:r>
          </w:p>
          <w:p>
            <w:pPr>
              <w:pStyle w:val="ListNumber"/>
            </w:pPr>
            <w:r>
              <w:t>test the radio handshake with ground control, and</w:t>
            </w:r>
          </w:p>
          <w:p>
            <w:r>
              <w:t>- record the takeoff weight in the journey 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