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Where-clause definitions</w:t>
      </w:r>
    </w:p>
    <w:p>
      <w:r>
        <w:t>Document ID: PROC-COMP-004</w:t>
      </w:r>
    </w:p>
    <w:p>
      <w:r>
        <w:t>Negative-case fixture.  The lead-in's last word is `where`, which the compound detector must treat as a definition block rather than an aggregated condition list.</w:t>
      </w:r>
    </w:p>
    <w:p>
      <w:pPr>
        <w:pStyle w:val="Heading1"/>
      </w:pPr>
      <w:r>
        <w:t>4. Notation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The system shall enforce the throughput envelope T(x) where:</w:t>
            </w:r>
          </w:p>
          <w:p>
            <w:pPr>
              <w:pStyle w:val="ListBullet"/>
            </w:pPr>
            <w:r>
              <w:t>T is the measured throughput in requests per second</w:t>
            </w:r>
          </w:p>
          <w:p>
            <w:pPr>
              <w:pStyle w:val="ListBullet"/>
            </w:pPr>
            <w:r>
              <w:t>x is the concurrent-session count at sample time</w:t>
            </w:r>
          </w:p>
          <w:p>
            <w:pPr>
              <w:pStyle w:val="ListBullet"/>
            </w:pPr>
            <w:r>
              <w:t>the envelope is published in the operations runbook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