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Unless-exclusion list</w:t>
      </w:r>
    </w:p>
    <w:p>
      <w:r>
        <w:t>Document ID: PROC-COMP-005</w:t>
      </w:r>
    </w:p>
    <w:p>
      <w:r>
        <w:t>Exclusion list.  The trailing `unless` words mark the items as conditions that suspend the lead-in obligation.</w:t>
      </w:r>
    </w:p>
    <w:p>
      <w:pPr>
        <w:pStyle w:val="Heading1"/>
      </w:pPr>
      <w:r>
        <w:t>5. Maintenance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Operations shall apply the patch within 24 hours of release unless:</w:t>
            </w:r>
          </w:p>
          <w:p>
            <w:pPr>
              <w:pStyle w:val="ListBullet"/>
            </w:pPr>
            <w:r>
              <w:t>the change touches a regulated subsystem, unless</w:t>
            </w:r>
          </w:p>
          <w:p>
            <w:pPr>
              <w:pStyle w:val="ListBullet"/>
            </w:pPr>
            <w:r>
              <w:t>the maintenance window has been deferred by the Change Board, unless</w:t>
            </w:r>
          </w:p>
          <w:p>
            <w:pPr>
              <w:pStyle w:val="ListBullet"/>
            </w:pPr>
            <w:r>
              <w:t>an active incident covers the affected service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