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- Two-action OR</w:t>
      </w:r>
    </w:p>
    <w:p>
      <w:r>
        <w:t>Document ID: PROC-MULTI-002</w:t>
      </w:r>
    </w:p>
    <w:p>
      <w:r>
        <w:t>Two-action sentence; ``or`` connector; no Oxford comma.  Tests the bare-connector fallback in the regex path.</w:t>
      </w:r>
    </w:p>
    <w:p>
      <w:pPr>
        <w:pStyle w:val="Heading1"/>
      </w:pPr>
      <w:r>
        <w:t>2.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The system shall log errors or alert operators.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