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- Shared-verb compound</w:t>
      </w:r>
    </w:p>
    <w:p>
      <w:r>
        <w:t>Document ID: PROC-MULTI-003</w:t>
      </w:r>
    </w:p>
    <w:p>
      <w:r>
        <w:t>Negative-case fixture.  Single availability requirement decorated with a recovery-time clause that uses ``with``, not a second verb.  Multi-action detection should not be triggered.</w:t>
      </w:r>
    </w:p>
    <w:p>
      <w:pPr>
        <w:pStyle w:val="Heading1"/>
      </w:pPr>
      <w:r>
        <w:t>3.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The system shall be available 99.9% of the time, with mean time to recovery less than 1 hour.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