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- Compound + multi-action interaction</w:t>
      </w:r>
    </w:p>
    <w:p>
      <w:r>
        <w:t>Document ID: PROC-MULTI-004</w:t>
      </w:r>
    </w:p>
    <w:p>
      <w:r>
        <w:t>Pipeline-ordering fixture.  0.6.1 compound aggregation runs first; 0.6.2 multi-action runs on the aggregated text.</w:t>
      </w:r>
    </w:p>
    <w:p>
      <w:pPr>
        <w:pStyle w:val="Heading1"/>
      </w:pPr>
      <w:r>
        <w:t>4. Build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Engineering shall comply with the following before each release if they:</w:t>
            </w:r>
          </w:p>
          <w:p>
            <w:pPr>
              <w:pStyle w:val="ListBullet"/>
            </w:pPr>
            <w:r>
              <w:t>are touching production systems, and</w:t>
            </w:r>
          </w:p>
          <w:p>
            <w:pPr>
              <w:pStyle w:val="ListBullet"/>
            </w:pPr>
            <w:r>
              <w:t>have not yet been peer-reviewed, and</w:t>
            </w:r>
          </w:p>
          <w:p>
            <w:pPr>
              <w:pStyle w:val="ListBullet"/>
            </w:pPr>
            <w:r>
              <w:t>affect customer-visible behaviour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