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Authentication Handshake</w:t>
      </w:r>
    </w:p>
    <w:p>
      <w:r>
        <w:t>Document ID: PROC-MULTI-007</w:t>
      </w:r>
    </w:p>
    <w:p>
      <w:r>
        <w:t>A handshake with several services participating per step.  The Actor column enumerates the eligible services; the Required action column's sentence subject names the one that actually carries out the step for a given row.</w:t>
      </w:r>
    </w:p>
    <w:p>
      <w:pPr>
        <w:pStyle w:val="Heading1"/>
      </w:pPr>
      <w:r>
        <w:t>7. Handshake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Auth Service, Gateway, Logger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Gateway shall forward the incoming authentication request to the Auth Service without modification.</w:t>
            </w:r>
          </w:p>
        </w:tc>
      </w:tr>
      <w:tr>
        <w:tc>
          <w:tcPr>
            <w:tcW w:type="dxa" w:w="2880"/>
          </w:tcPr>
          <w:p>
            <w:r>
              <w:t>Auth Service, Gateway, Logger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Auth Service must verify the signed token against the published public key before any session state is created.</w:t>
            </w:r>
          </w:p>
        </w:tc>
      </w:tr>
      <w:tr>
        <w:tc>
          <w:tcPr>
            <w:tcW w:type="dxa" w:w="2880"/>
          </w:tcPr>
          <w:p>
            <w:r>
              <w:t>Auth Service / Gateway / Logger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The Logger shall emit a structured audit entry containing the request ID, the verifying service, and the outcome.</w:t>
            </w:r>
          </w:p>
        </w:tc>
      </w:tr>
      <w:tr>
        <w:tc>
          <w:tcPr>
            <w:tcW w:type="dxa" w:w="2880"/>
          </w:tcPr>
          <w:p>
            <w:r>
              <w:t>Auth Service, Gateway, Logger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If the verification fails, the error shall be returned to the caller with HTTP status 401 and no session token.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