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Customer Onboarding (Bilingual)</w:t>
      </w:r>
    </w:p>
    <w:p>
      <w:r>
        <w:t>Document ID: PROC-BILING-010</w:t>
      </w:r>
    </w:p>
    <w:p>
      <w:r>
        <w:t>Sample document combining English requirements with Spanish operator notes.  Only the English rows should be captured as requirements.</w:t>
      </w:r>
    </w:p>
    <w:p>
      <w:pPr>
        <w:pStyle w:val="Heading1"/>
      </w:pPr>
      <w:r>
        <w:t>10. Onboarding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 Manager</w:t>
            </w:r>
          </w:p>
        </w:tc>
        <w:tc>
          <w:tcPr>
            <w:tcW w:type="dxa" w:w="4320"/>
          </w:tcPr>
          <w:p>
            <w:r>
              <w:t>The Account Manager shall validate the customer identification before creating any account.</w:t>
            </w:r>
          </w:p>
        </w:tc>
      </w:tr>
      <w:tr>
        <w:tc>
          <w:tcPr>
            <w:tcW w:type="dxa" w:w="4320"/>
          </w:tcPr>
          <w:p>
            <w:r>
              <w:t>Gestor de Cuentas</w:t>
            </w:r>
          </w:p>
        </w:tc>
        <w:tc>
          <w:tcPr>
            <w:tcW w:type="dxa" w:w="4320"/>
          </w:tcPr>
          <w:p>
            <w:r>
              <w:t>El Gestor de Cuentas debe verificar los documentos del cliente antes de crear la cuenta.</w:t>
            </w:r>
          </w:p>
        </w:tc>
      </w:tr>
      <w:tr>
        <w:tc>
          <w:tcPr>
            <w:tcW w:type="dxa" w:w="4320"/>
          </w:tcPr>
          <w:p>
            <w:r>
              <w:t>Compliance Officer</w:t>
            </w:r>
          </w:p>
        </w:tc>
        <w:tc>
          <w:tcPr>
            <w:tcW w:type="dxa" w:w="4320"/>
          </w:tcPr>
          <w:p>
            <w:r>
              <w:t>The Compliance Officer must review the validation result within two business days.</w:t>
            </w:r>
          </w:p>
        </w:tc>
      </w:tr>
      <w:tr>
        <w:tc>
          <w:tcPr>
            <w:tcW w:type="dxa" w:w="4320"/>
          </w:tcPr>
          <w:p>
            <w:r>
              <w:t>Oficial de Cumplimiento</w:t>
            </w:r>
          </w:p>
        </w:tc>
        <w:tc>
          <w:tcPr>
            <w:tcW w:type="dxa" w:w="4320"/>
          </w:tcPr>
          <w:p>
            <w:r>
              <w:t>El Oficial de Cumplimiento revisa el resultado de la validación en un plazo de dos días hábiles.</w:t>
            </w:r>
          </w:p>
        </w:tc>
      </w:tr>
      <w:tr>
        <w:tc>
          <w:tcPr>
            <w:tcW w:type="dxa" w:w="4320"/>
          </w:tcPr>
          <w:p>
            <w:r>
              <w:t>Account Manager</w:t>
            </w:r>
          </w:p>
        </w:tc>
        <w:tc>
          <w:tcPr>
            <w:tcW w:type="dxa" w:w="4320"/>
          </w:tcPr>
          <w:p>
            <w:r>
              <w:t>The Account Manager shall notify the customer of the approval decision via the registered email address.</w:t>
            </w:r>
          </w:p>
        </w:tc>
      </w:tr>
      <w:tr>
        <w:tc>
          <w:tcPr>
            <w:tcW w:type="dxa" w:w="4320"/>
          </w:tcPr>
          <w:p>
            <w:r>
              <w:t>Gestor de Cuentas</w:t>
            </w:r>
          </w:p>
        </w:tc>
        <w:tc>
          <w:tcPr>
            <w:tcW w:type="dxa" w:w="4320"/>
          </w:tcPr>
          <w:p>
            <w:r>
              <w:t>El Gestor de Cuentas notifica al cliente sobre la decisión de aprobación por correo electrónico.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