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Change-Management Review</w:t>
      </w:r>
    </w:p>
    <w:p>
      <w:r>
        <w:t>Document ID: PROC-PASSIVE-004</w:t>
      </w:r>
    </w:p>
    <w:p>
      <w:r>
        <w:t>Review steps for a production change request. Language is deliberately passive throughout.</w:t>
      </w:r>
    </w:p>
    <w:p>
      <w:pPr>
        <w:pStyle w:val="Heading1"/>
      </w:pPr>
      <w:r>
        <w:t>4. Review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Board</w:t>
            </w:r>
          </w:p>
        </w:tc>
        <w:tc>
          <w:tcPr>
            <w:tcW w:type="dxa" w:w="4320"/>
          </w:tcPr>
          <w:p>
            <w:r>
              <w:t>Each change request shall be reviewed by the Change Board before any production deployment.</w:t>
            </w:r>
          </w:p>
        </w:tc>
      </w:tr>
      <w:tr>
        <w:tc>
          <w:tcPr>
            <w:tcW w:type="dxa" w:w="4320"/>
          </w:tcPr>
          <w:p>
            <w:r>
              <w:t>Change Board</w:t>
            </w:r>
          </w:p>
        </w:tc>
        <w:tc>
          <w:tcPr>
            <w:tcW w:type="dxa" w:w="4320"/>
          </w:tcPr>
          <w:p>
            <w:r>
              <w:t>Approval must be granted by the Security Officer when the change touches authentication flows.</w:t>
            </w:r>
          </w:p>
        </w:tc>
      </w:tr>
      <w:tr>
        <w:tc>
          <w:tcPr>
            <w:tcW w:type="dxa" w:w="4320"/>
          </w:tcPr>
          <w:p>
            <w:r>
              <w:t>Change Board</w:t>
            </w:r>
          </w:p>
        </w:tc>
        <w:tc>
          <w:tcPr>
            <w:tcW w:type="dxa" w:w="4320"/>
          </w:tcPr>
          <w:p>
            <w:r>
              <w:t>A rollback plan shall be signed off by the Release Manager prior to the change window.</w:t>
            </w:r>
          </w:p>
        </w:tc>
      </w:tr>
      <w:tr>
        <w:tc>
          <w:tcPr>
            <w:tcW w:type="dxa" w:w="4320"/>
          </w:tcPr>
          <w:p>
            <w:r>
              <w:t>Change Board</w:t>
            </w:r>
          </w:p>
        </w:tc>
        <w:tc>
          <w:tcPr>
            <w:tcW w:type="dxa" w:w="4320"/>
          </w:tcPr>
          <w:p>
            <w:r>
              <w:t>Post-change validation must be completed by the Duty Engineer within 30 minutes of deployment.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