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Console Start-of-Shift</w:t>
      </w:r>
    </w:p>
    <w:p>
      <w:r>
        <w:t>Document ID: PROC-NOKW-009</w:t>
      </w:r>
    </w:p>
    <w:p>
      <w:r>
        <w:t>Written in indicative voice throughout — no shall / must / should / may.  Each row is a requirement by virtue of the Required action column header, not by virtue of any modal keyword in the sentence.</w:t>
      </w:r>
    </w:p>
    <w:p>
      <w:pPr>
        <w:pStyle w:val="Heading1"/>
      </w:pPr>
      <w:r>
        <w:t>9. Start-of-Shift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Operator confirms the console lock status at the start of every shift.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Operator reviews the previous shift's handover notes before touching any control surface.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The Supervisor validates the active alarm list and acknowledges any outstanding items.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The Supervisor records the go/no-go decision for the shift in the shift log.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Operator acknowledges the go decision and transitions the console to normal operating mode.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