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Alphanumeric Section Sample</w:t>
      </w:r>
    </w:p>
    <w:p>
      <w:r>
        <w:t>Document ID: SPEC-ALPHA-002</w:t>
      </w:r>
    </w:p>
    <w:p>
      <w:pPr>
        <w:pStyle w:val="Heading1"/>
      </w:pPr>
      <w:r>
        <w:t>5. Security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SR-1.1 Access Control</w:t>
            </w:r>
          </w:p>
        </w:tc>
        <w:tc>
          <w:tcPr>
            <w:tcW w:type="dxa" w:w="4320"/>
          </w:tcPr>
          <w:p>
            <w:r>
              <w:t>Policy rules for role-based access are defined below.</w:t>
            </w:r>
          </w:p>
        </w:tc>
      </w:tr>
      <w:tr>
        <w:tc>
          <w:tcPr>
            <w:tcW w:type="dxa" w:w="4320"/>
          </w:tcPr>
          <w:p>
            <w:r>
              <w:t>Auth Service</w:t>
            </w:r>
          </w:p>
        </w:tc>
        <w:tc>
          <w:tcPr>
            <w:tcW w:type="dxa" w:w="4320"/>
          </w:tcPr>
          <w:p>
            <w:r>
              <w:t>The Auth Service shall enforce RBAC on every request.</w:t>
            </w:r>
          </w:p>
        </w:tc>
      </w:tr>
      <w:tr>
        <w:tc>
          <w:tcPr>
            <w:tcW w:type="dxa" w:w="4320"/>
          </w:tcPr>
          <w:p>
            <w:r>
              <w:t>REQ-042 Key Rotation</w:t>
            </w:r>
          </w:p>
        </w:tc>
        <w:tc>
          <w:tcPr>
            <w:tcW w:type="dxa" w:w="4320"/>
          </w:tcPr>
          <w:p>
            <w:r>
              <w:t>Keys are rotated on a fixed cadence.</w:t>
            </w:r>
          </w:p>
        </w:tc>
      </w:tr>
      <w:tr>
        <w:tc>
          <w:tcPr>
            <w:tcW w:type="dxa" w:w="4320"/>
          </w:tcPr>
          <w:p>
            <w:r>
              <w:t>Key Manager</w:t>
            </w:r>
          </w:p>
        </w:tc>
        <w:tc>
          <w:tcPr>
            <w:tcW w:type="dxa" w:w="4320"/>
          </w:tcPr>
          <w:p>
            <w:r>
              <w:t>The Key Manager shall rotate signing keys every 90 days.</w:t>
            </w:r>
          </w:p>
        </w:tc>
      </w:tr>
      <w:tr>
        <w:tc>
          <w:tcPr>
            <w:tcW w:type="dxa" w:w="4320"/>
          </w:tcPr>
          <w:p>
            <w:r>
              <w:t>A.1 Annex — Audit</w:t>
            </w:r>
          </w:p>
        </w:tc>
        <w:tc>
          <w:tcPr>
            <w:tcW w:type="dxa" w:w="4320"/>
          </w:tcPr>
          <w:p>
            <w:r>
              <w:t>Audit logs are handled externally to the control plane.</w:t>
            </w:r>
          </w:p>
        </w:tc>
      </w:tr>
      <w:tr>
        <w:tc>
          <w:tcPr>
            <w:tcW w:type="dxa" w:w="4320"/>
          </w:tcPr>
          <w:p>
            <w:r>
              <w:t>Audit Collector</w:t>
            </w:r>
          </w:p>
        </w:tc>
        <w:tc>
          <w:tcPr>
            <w:tcW w:type="dxa" w:w="4320"/>
          </w:tcPr>
          <w:p>
            <w:r>
              <w:t>The Audit Collector must forward events to the SIEM within 60 seconds.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