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Boilerplate-Heavy Specification</w:t>
      </w:r>
    </w:p>
    <w:p>
      <w:r>
        <w:t>Document ID: SPEC-BOILER-003</w:t>
      </w:r>
    </w:p>
    <w:p>
      <w:pPr>
        <w:pStyle w:val="Heading1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Revision History</w:t>
            </w:r>
          </w:p>
        </w:tc>
        <w:tc>
          <w:tcPr>
            <w:tcW w:type="dxa" w:w="4320"/>
          </w:tcPr>
          <w:p>
            <w:r>
              <w:t>Change log</w:t>
            </w:r>
          </w:p>
        </w:tc>
      </w:tr>
      <w:tr>
        <w:tc>
          <w:tcPr>
            <w:tcW w:type="dxa" w:w="4320"/>
          </w:tcPr>
          <w:p>
            <w:r>
              <w:t>v1.0</w:t>
            </w:r>
          </w:p>
        </w:tc>
        <w:tc>
          <w:tcPr>
            <w:tcW w:type="dxa" w:w="4320"/>
          </w:tcPr>
          <w:p>
            <w:r>
              <w:t>Initial release. The review committee shall publish updates quarterly.</w:t>
            </w:r>
          </w:p>
        </w:tc>
      </w:tr>
      <w:tr>
        <w:tc>
          <w:tcPr>
            <w:tcW w:type="dxa" w:w="4320"/>
          </w:tcPr>
          <w:p>
            <w:r>
              <w:t>v1.1</w:t>
            </w:r>
          </w:p>
        </w:tc>
        <w:tc>
          <w:tcPr>
            <w:tcW w:type="dxa" w:w="4320"/>
          </w:tcPr>
          <w:p>
            <w:r>
              <w:t>Minor typo fixes. Authors must proofread drafts.</w:t>
            </w:r>
          </w:p>
        </w:tc>
      </w:tr>
    </w:tbl>
    <w:p>
      <w:pPr>
        <w:pStyle w:val="Heading1"/>
      </w:pPr>
      <w:r>
        <w:t>2. 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of Contents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Glossary</w:t>
            </w:r>
          </w:p>
        </w:tc>
        <w:tc>
          <w:tcPr>
            <w:tcW w:type="dxa" w:w="4320"/>
          </w:tcPr>
          <w:p>
            <w:r>
              <w:t>See page 3</w:t>
            </w:r>
          </w:p>
        </w:tc>
      </w:tr>
    </w:tbl>
    <w:p>
      <w:pPr>
        <w:pStyle w:val="Heading1"/>
      </w:pPr>
      <w:r>
        <w:t>3.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Glossary</w:t>
            </w:r>
          </w:p>
        </w:tc>
        <w:tc>
          <w:tcPr>
            <w:tcW w:type="dxa" w:w="4320"/>
          </w:tcPr>
          <w:p>
            <w:r>
              <w:t>Definitions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control. Users shall be grouped by role.</w:t>
            </w:r>
          </w:p>
        </w:tc>
      </w:tr>
    </w:tbl>
    <w:p>
      <w:pPr>
        <w:pStyle w:val="Heading1"/>
      </w:pPr>
      <w:r>
        <w:t>4.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Citations</w:t>
            </w:r>
          </w:p>
        </w:tc>
      </w:tr>
      <w:tr>
        <w:tc>
          <w:tcPr>
            <w:tcW w:type="dxa" w:w="4320"/>
          </w:tcPr>
          <w:p>
            <w:r>
              <w:t>ISO-27001</w:t>
            </w:r>
          </w:p>
        </w:tc>
        <w:tc>
          <w:tcPr>
            <w:tcW w:type="dxa" w:w="4320"/>
          </w:tcPr>
          <w:p>
            <w:r>
              <w:t>Readers must consult the standard for full details.</w:t>
            </w:r>
          </w:p>
        </w:tc>
      </w:tr>
    </w:tbl>
    <w:p>
      <w:pPr>
        <w:pStyle w:val="Heading1"/>
      </w:pPr>
      <w:r>
        <w:t>5.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 Service</w:t>
            </w:r>
          </w:p>
        </w:tc>
        <w:tc>
          <w:tcPr>
            <w:tcW w:type="dxa" w:w="4320"/>
          </w:tcPr>
          <w:p>
            <w:r>
              <w:t>The Auth Service shall log every failed login attempt.</w:t>
            </w:r>
          </w:p>
        </w:tc>
      </w:tr>
      <w:tr>
        <w:tc>
          <w:tcPr>
            <w:tcW w:type="dxa" w:w="4320"/>
          </w:tcPr>
          <w:p>
            <w:r>
              <w:t>Admin Console</w:t>
            </w:r>
          </w:p>
        </w:tc>
        <w:tc>
          <w:tcPr>
            <w:tcW w:type="dxa" w:w="4320"/>
          </w:tcPr>
          <w:p>
            <w:r>
              <w:t>The Admin Console must support MFA for all administrative users.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