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Noise-Prose Sample</w:t>
      </w:r>
    </w:p>
    <w:p>
      <w:r>
        <w:t>Document ID: SPEC-NOISE-005</w:t>
      </w:r>
    </w:p>
    <w:p>
      <w:r>
        <w:t>This document will serve as the authoritative reference for the subsystem.</w:t>
      </w:r>
    </w:p>
    <w:p>
      <w:pPr>
        <w:pStyle w:val="Heading1"/>
      </w:pPr>
      <w:r>
        <w:t>7. System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Scheduler</w:t>
            </w:r>
          </w:p>
        </w:tc>
        <w:tc>
          <w:tcPr>
            <w:tcW w:type="dxa" w:w="4320"/>
          </w:tcPr>
          <w:p>
            <w:r>
              <w:t>The Scheduler shall dispatch tasks every 100 ms.</w:t>
            </w:r>
          </w:p>
          <w:p>
            <w:r>
              <w:t>Note: this behaviour is informational and does not constitute a requirement.</w:t>
            </w:r>
          </w:p>
          <w:p>
            <w:r>
              <w:t>Example: dispatch happens on the tick boundary.</w:t>
            </w:r>
          </w:p>
          <w:p>
            <w:r>
              <w:t>The Scheduler must not preempt a critical task.</w:t>
            </w:r>
          </w:p>
        </w:tc>
      </w:tr>
      <w:tr>
        <w:tc>
          <w:tcPr>
            <w:tcW w:type="dxa" w:w="4320"/>
          </w:tcPr>
          <w:p>
            <w:r>
              <w:t>Logger</w:t>
            </w:r>
          </w:p>
        </w:tc>
        <w:tc>
          <w:tcPr>
            <w:tcW w:type="dxa" w:w="4320"/>
          </w:tcPr>
          <w:p>
            <w:r>
              <w:t>The Logger will attempt to flush buffers every second.</w:t>
            </w:r>
          </w:p>
        </w:tc>
      </w:tr>
      <w:tr>
        <w:tc>
          <w:tcPr>
            <w:tcW w:type="dxa" w:w="4320"/>
          </w:tcPr>
          <w:p>
            <w:r>
              <w:t>Orchestrator</w:t>
            </w:r>
          </w:p>
        </w:tc>
        <w:tc>
          <w:tcPr>
            <w:tcW w:type="dxa" w:w="4320"/>
          </w:tcPr>
          <w:p>
            <w:r>
              <w:t>The Orchestrator shall coordinate all subsystems.</w:t>
            </w:r>
          </w:p>
          <w:p>
            <w:r>
              <w:t>Caution: behaviour during brownout is TBD.</w:t>
            </w:r>
          </w:p>
        </w:tc>
      </w:tr>
      <w:tr>
        <w:tc>
          <w:tcPr>
            <w:tcW w:type="dxa" w:w="4320"/>
          </w:tcPr>
          <w:p>
            <w:r>
              <w:t>Monitor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Reporter</w:t>
            </w:r>
          </w:p>
        </w:tc>
        <w:tc>
          <w:tcPr>
            <w:tcW w:type="dxa" w:w="4320"/>
          </w:tcPr>
          <w:p>
            <w:r>
              <w:t xml:space="preserve">   </w:t>
            </w:r>
          </w:p>
          <w:p>
            <w:r>
              <w:tab/>
              <w:tab/>
            </w:r>
          </w:p>
        </w:tc>
      </w:tr>
      <w:tr>
        <w:tc>
          <w:tcPr>
            <w:tcW w:type="dxa" w:w="4320"/>
          </w:tcPr>
          <w:p>
            <w:r>
              <w:t>Beacon</w:t>
            </w:r>
          </w:p>
        </w:tc>
        <w:tc>
          <w:tcPr>
            <w:tcW w:type="dxa" w:w="4320"/>
          </w:tcPr>
          <w:p>
            <w:r>
              <w:t>Shall ping.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