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43.png" ContentType="image/png"/>
  <Override PartName="/word/media/rId4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rapport-éducation-bonheur-dans-le-monde"/>
    <w:p>
      <w:pPr>
        <w:pStyle w:val="Heading1"/>
      </w:pPr>
      <w:r>
        <w:t xml:space="preserve">Rapport – Éducation &amp; Bonheur dans le monde</w:t>
      </w:r>
    </w:p>
    <w:p>
      <w:pPr>
        <w:pStyle w:val="FirstParagraph"/>
      </w:pPr>
      <w:r>
        <w:rPr>
          <w:b/>
          <w:bCs/>
        </w:rPr>
        <w:t xml:space="preserve">IMT Mines Alès – 2IA | Data Collection &amp; Visualisation | Avril 2026</w:t>
      </w:r>
      <w:r>
        <w:br/>
      </w:r>
      <w:r>
        <w:rPr>
          <w:b/>
          <w:bCs/>
        </w:rPr>
        <w:t xml:space="preserve">Groupe X – Prénom NOM, Prénom NOM, …</w:t>
      </w:r>
      <w:r>
        <w:t xml:space="preserve"> </w:t>
      </w:r>
      <w:r>
        <w:t xml:space="preserve">←</w:t>
      </w:r>
      <w:r>
        <w:t xml:space="preserve"> </w:t>
      </w:r>
      <w:r>
        <w:rPr>
          <w:i/>
          <w:iCs/>
        </w:rPr>
        <w:t xml:space="preserve">à compléter</w:t>
      </w:r>
    </w:p>
    <w:p>
      <w:r>
        <w:pict>
          <v:rect style="width:0;height:1.5pt" o:hralign="center" o:hrstd="t" o:hr="t"/>
        </w:pict>
      </w:r>
    </w:p>
    <w:bookmarkStart w:id="13" w:name="question-scientifique-et-contexte"/>
    <w:p>
      <w:pPr>
        <w:pStyle w:val="Heading2"/>
      </w:pPr>
      <w:r>
        <w:t xml:space="preserve">1. Question scientifique et contexte</w:t>
      </w:r>
    </w:p>
    <w:bookmarkStart w:id="9" w:name="contexte"/>
    <w:p>
      <w:pPr>
        <w:pStyle w:val="Heading3"/>
      </w:pPr>
      <w:r>
        <w:t xml:space="preserve">1.1 Contexte</w:t>
      </w:r>
    </w:p>
    <w:p>
      <w:pPr>
        <w:pStyle w:val="Compact"/>
        <w:numPr>
          <w:ilvl w:val="0"/>
          <w:numId w:val="1001"/>
        </w:numPr>
      </w:pPr>
      <w:r>
        <w:t xml:space="preserve">Le bonheur est devenu un indicateur central du développement humain. Depuis 2012, le</w:t>
      </w:r>
      <w:r>
        <w:t xml:space="preserve"> </w:t>
      </w:r>
      <w:r>
        <w:rPr>
          <w:i/>
          <w:iCs/>
        </w:rPr>
        <w:t xml:space="preserve">World Happiness Report</w:t>
      </w:r>
      <w:r>
        <w:t xml:space="preserve"> </w:t>
      </w:r>
      <w:r>
        <w:t xml:space="preserve">(ONU) publie chaque année un classement mondial des pays selon le bien-être subjectif ressenti par leurs habitants, mesuré sur une échelle de 0 à 10 (Échelle de Cantril).</w:t>
      </w:r>
    </w:p>
    <w:p>
      <w:pPr>
        <w:pStyle w:val="Compact"/>
        <w:numPr>
          <w:ilvl w:val="0"/>
          <w:numId w:val="1001"/>
        </w:numPr>
      </w:pPr>
      <w:r>
        <w:t xml:space="preserve">Parallèlement, l’éducation est unanimement reconnue comme un levier fondamental du développement humain : elle améliore les conditions de vie, l’employabilité, l’autonomie des individus et la cohésion sociale. L’indice d’éducation du Programme des Nations Unies pour le Développement (PNUD) synthétise cette dimension en un indicateur unique (0–1).</w:t>
      </w:r>
    </w:p>
    <w:p>
      <w:pPr>
        <w:pStyle w:val="Compact"/>
        <w:numPr>
          <w:ilvl w:val="0"/>
          <w:numId w:val="1001"/>
        </w:numPr>
      </w:pPr>
      <w:r>
        <w:t xml:space="preserve">Ces deux dimensions sont rarement croisées de manière systématique à l’échelle mondiale. Ce projet vise à explorer ce lien à partir de données publiques accessibles.</w:t>
      </w:r>
    </w:p>
    <w:bookmarkEnd w:id="9"/>
    <w:bookmarkStart w:id="10" w:name="question-principale"/>
    <w:p>
      <w:pPr>
        <w:pStyle w:val="Heading3"/>
      </w:pPr>
      <w:r>
        <w:t xml:space="preserve">1.2 Question principale</w:t>
      </w:r>
    </w:p>
    <w:p>
      <w:pPr>
        <w:pStyle w:val="Compact"/>
        <w:numPr>
          <w:ilvl w:val="0"/>
          <w:numId w:val="1002"/>
        </w:numPr>
      </w:pPr>
      <w:r>
        <w:rPr>
          <w:b/>
          <w:bCs/>
        </w:rPr>
        <w:t xml:space="preserve">Le niveau d’éducation d’un pays prédit-il le bonheur de sa population ?</w:t>
      </w:r>
    </w:p>
    <w:p>
      <w:pPr>
        <w:pStyle w:val="Compact"/>
        <w:numPr>
          <w:ilvl w:val="0"/>
          <w:numId w:val="1002"/>
        </w:numPr>
      </w:pPr>
      <w:r>
        <w:t xml:space="preserve">Hypothèse de travail : les pays présentant un niveau d’éducation élevé (mesuré par plusieurs indicateurs complémentaires) affichent tendanciellement des scores de bonheur plus élevés.</w:t>
      </w:r>
    </w:p>
    <w:bookmarkEnd w:id="10"/>
    <w:bookmarkStart w:id="11" w:name="enjeux"/>
    <w:p>
      <w:pPr>
        <w:pStyle w:val="Heading3"/>
      </w:pPr>
      <w:r>
        <w:t xml:space="preserve">1.3 Enjeux</w:t>
      </w:r>
    </w:p>
    <w:p>
      <w:pPr>
        <w:pStyle w:val="Compact"/>
        <w:numPr>
          <w:ilvl w:val="0"/>
          <w:numId w:val="1003"/>
        </w:numPr>
      </w:pPr>
      <w:r>
        <w:rPr>
          <w:b/>
          <w:bCs/>
        </w:rPr>
        <w:t xml:space="preserve">Politiques publiques :</w:t>
      </w:r>
      <w:r>
        <w:t xml:space="preserve"> </w:t>
      </w:r>
      <w:r>
        <w:t xml:space="preserve">si l’éducation est un prédicteur fort du bonheur, les gouvernements auraient un intérêt à y allouer davantage de ressources publiques.</w:t>
      </w:r>
    </w:p>
    <w:p>
      <w:pPr>
        <w:pStyle w:val="Compact"/>
        <w:numPr>
          <w:ilvl w:val="0"/>
          <w:numId w:val="1003"/>
        </w:numPr>
      </w:pPr>
      <w:r>
        <w:rPr>
          <w:b/>
          <w:bCs/>
        </w:rPr>
        <w:t xml:space="preserve">Coopération internationale :</w:t>
      </w:r>
      <w:r>
        <w:t xml:space="preserve"> </w:t>
      </w:r>
      <w:r>
        <w:t xml:space="preserve">les organisations de développement (ONU, Banque Mondiale, ONG) pourraient justifier la priorité donnée à l’éducation dans leurs programmes d’aide.</w:t>
      </w:r>
    </w:p>
    <w:p>
      <w:pPr>
        <w:pStyle w:val="Compact"/>
        <w:numPr>
          <w:ilvl w:val="0"/>
          <w:numId w:val="1003"/>
        </w:numPr>
      </w:pPr>
      <w:r>
        <w:rPr>
          <w:b/>
          <w:bCs/>
        </w:rPr>
        <w:t xml:space="preserve">Sciences sociales :</w:t>
      </w:r>
      <w:r>
        <w:t xml:space="preserve"> </w:t>
      </w:r>
      <w:r>
        <w:t xml:space="preserve">mieux comprendre les déterminants du bien-être subjectif à l’échelle nationale, en distinguant l’effet propre de l’éducation de celui de la richesse économique générale.</w:t>
      </w:r>
    </w:p>
    <w:bookmarkEnd w:id="11"/>
    <w:bookmarkStart w:id="12" w:name="population-étudiée"/>
    <w:p>
      <w:pPr>
        <w:pStyle w:val="Heading3"/>
      </w:pPr>
      <w:r>
        <w:t xml:space="preserve">1.4 Population étudiée</w:t>
      </w:r>
    </w:p>
    <w:p>
      <w:pPr>
        <w:pStyle w:val="Compact"/>
        <w:numPr>
          <w:ilvl w:val="0"/>
          <w:numId w:val="1004"/>
        </w:numPr>
      </w:pPr>
      <w:r>
        <w:rPr>
          <w:b/>
          <w:bCs/>
        </w:rPr>
        <w:t xml:space="preserve">Unité d’analyse :</w:t>
      </w:r>
      <w:r>
        <w:t xml:space="preserve"> </w:t>
      </w:r>
      <w:r>
        <w:t xml:space="preserve">le pays souverain (États disposant de données publiques accessibles).</w:t>
      </w:r>
    </w:p>
    <w:p>
      <w:pPr>
        <w:pStyle w:val="Compact"/>
        <w:numPr>
          <w:ilvl w:val="0"/>
          <w:numId w:val="1004"/>
        </w:numPr>
      </w:pPr>
      <w:r>
        <w:rPr>
          <w:b/>
          <w:bCs/>
        </w:rPr>
        <w:t xml:space="preserve">Taille de l’échantillon :</w:t>
      </w:r>
      <w:r>
        <w:t xml:space="preserve"> </w:t>
      </w:r>
      <w:r>
        <w:t xml:space="preserve">206 pays référencés dans le dataset, dont 147 disposent d’un score de bonheur complet (71,4 % de couverture).</w:t>
      </w:r>
    </w:p>
    <w:p>
      <w:pPr>
        <w:pStyle w:val="Compact"/>
        <w:numPr>
          <w:ilvl w:val="0"/>
          <w:numId w:val="1004"/>
        </w:numPr>
      </w:pPr>
      <w:r>
        <w:rPr>
          <w:b/>
          <w:bCs/>
        </w:rPr>
        <w:t xml:space="preserve">Période couverte :</w:t>
      </w:r>
      <w:r>
        <w:t xml:space="preserve"> </w:t>
      </w:r>
      <w:r>
        <w:t xml:space="preserve">données issues principalement des années 2019–2023, selon la disponibilité par source.</w:t>
      </w:r>
    </w:p>
    <w:p>
      <w:pPr>
        <w:pStyle w:val="Compact"/>
        <w:numPr>
          <w:ilvl w:val="0"/>
          <w:numId w:val="1004"/>
        </w:numPr>
      </w:pPr>
      <w:r>
        <w:rPr>
          <w:b/>
          <w:bCs/>
        </w:rPr>
        <w:t xml:space="preserve">Critère d’inclusion :</w:t>
      </w:r>
      <w:r>
        <w:t xml:space="preserve"> </w:t>
      </w:r>
      <w:r>
        <w:t xml:space="preserve">tout pays pour lequel au moins un indicateur éducatif et le score de bonheur sont disponibles.</w:t>
      </w:r>
    </w:p>
    <w:p>
      <w:r>
        <w:pict>
          <v:rect style="width:0;height:1.5pt" o:hralign="center" o:hrstd="t" o:hr="t"/>
        </w:pict>
      </w:r>
    </w:p>
    <w:bookmarkEnd w:id="12"/>
    <w:bookmarkEnd w:id="13"/>
    <w:bookmarkStart w:id="19" w:name="design-of-experiment-doe"/>
    <w:p>
      <w:pPr>
        <w:pStyle w:val="Heading2"/>
      </w:pPr>
      <w:r>
        <w:t xml:space="preserve">2. Design of Experiment (DOE)</w:t>
      </w:r>
    </w:p>
    <w:bookmarkStart w:id="14" w:name="choix-de-la-méthode-de-collecte"/>
    <w:p>
      <w:pPr>
        <w:pStyle w:val="Heading3"/>
      </w:pPr>
      <w:r>
        <w:t xml:space="preserve">2.1 Choix de la méthode de collecte</w:t>
      </w:r>
    </w:p>
    <w:p>
      <w:pPr>
        <w:pStyle w:val="Compact"/>
        <w:numPr>
          <w:ilvl w:val="0"/>
          <w:numId w:val="1005"/>
        </w:numPr>
      </w:pPr>
      <w:r>
        <w:t xml:space="preserve">L’étude repose sur une</w:t>
      </w:r>
      <w:r>
        <w:t xml:space="preserve"> </w:t>
      </w:r>
      <w:r>
        <w:rPr>
          <w:b/>
          <w:bCs/>
        </w:rPr>
        <w:t xml:space="preserve">collecte de données secondaires</w:t>
      </w:r>
      <w:r>
        <w:t xml:space="preserve"> </w:t>
      </w:r>
      <w:r>
        <w:t xml:space="preserve">(données déjà publiées par des organismes officiels), par opposition à une collecte primaire (questionnaire, capteurs). Ce choix se justifie par la nature macro-économique de la question : il n’est pas possible d’interroger directement un pays.</w:t>
      </w:r>
    </w:p>
    <w:p>
      <w:pPr>
        <w:pStyle w:val="Compact"/>
        <w:numPr>
          <w:ilvl w:val="0"/>
          <w:numId w:val="1005"/>
        </w:numPr>
      </w:pPr>
      <w:r>
        <w:t xml:space="preserve">Deux méthodes techniques ont été combinées : le</w:t>
      </w:r>
      <w:r>
        <w:t xml:space="preserve"> </w:t>
      </w:r>
      <w:r>
        <w:rPr>
          <w:b/>
          <w:bCs/>
        </w:rPr>
        <w:t xml:space="preserve">web scraping</w:t>
      </w:r>
      <w:r>
        <w:t xml:space="preserve"> </w:t>
      </w:r>
      <w:r>
        <w:t xml:space="preserve">(extraction automatisée de tableaux HTML depuis Wikipedia) et l’</w:t>
      </w:r>
      <w:r>
        <w:rPr>
          <w:b/>
          <w:bCs/>
        </w:rPr>
        <w:t xml:space="preserve">appel à une API REST</w:t>
      </w:r>
      <w:r>
        <w:t xml:space="preserve"> </w:t>
      </w:r>
      <w:r>
        <w:t xml:space="preserve">(World Bank Open Data). Ces approches permettent une collecte reproductible, automatisée et documentée.</w:t>
      </w:r>
    </w:p>
    <w:bookmarkEnd w:id="14"/>
    <w:bookmarkStart w:id="15" w:name="sources-de-données"/>
    <w:p>
      <w:pPr>
        <w:pStyle w:val="Heading3"/>
      </w:pPr>
      <w:r>
        <w:t xml:space="preserve">2.2 Sources de données</w:t>
      </w:r>
    </w:p>
    <w:p>
      <w:pPr>
        <w:pStyle w:val="Compact"/>
        <w:numPr>
          <w:ilvl w:val="0"/>
          <w:numId w:val="1006"/>
        </w:numPr>
      </w:pPr>
      <w:r>
        <w:rPr>
          <w:b/>
          <w:bCs/>
        </w:rPr>
        <w:t xml:space="preserve">Source 1 – Wikipedia, Education Index :</w:t>
      </w:r>
      <w:r>
        <w:t xml:space="preserve"> </w:t>
      </w:r>
      <w:r>
        <w:t xml:space="preserve">tableau HTML de l’indice d’éducation HDI (PNUD) par pays. Scraping avec BeautifulSoup. Variable extraite :</w:t>
      </w:r>
      <w:r>
        <w:t xml:space="preserve"> </w:t>
      </w:r>
      <w:r>
        <w:rPr>
          <w:rStyle w:val="VerbatimChar"/>
        </w:rPr>
        <w:t xml:space="preserve">education_index</w:t>
      </w:r>
      <w:r>
        <w:t xml:space="preserve">.</w:t>
      </w:r>
    </w:p>
    <w:p>
      <w:pPr>
        <w:pStyle w:val="Compact"/>
        <w:numPr>
          <w:ilvl w:val="0"/>
          <w:numId w:val="1006"/>
        </w:numPr>
      </w:pPr>
      <w:r>
        <w:rPr>
          <w:b/>
          <w:bCs/>
        </w:rPr>
        <w:t xml:space="preserve">Source 2 – Wikipedia, World Happiness Report :</w:t>
      </w:r>
      <w:r>
        <w:t xml:space="preserve"> </w:t>
      </w:r>
      <w:r>
        <w:t xml:space="preserve">tableau HTML du rapport mondial sur le bonheur. Scraping avec BeautifulSoup. Variables extraites :</w:t>
      </w:r>
      <w:r>
        <w:t xml:space="preserve"> </w:t>
      </w:r>
      <w:r>
        <w:rPr>
          <w:rStyle w:val="VerbatimChar"/>
        </w:rPr>
        <w:t xml:space="preserve">happiness_score</w:t>
      </w:r>
      <w:r>
        <w:t xml:space="preserve">,</w:t>
      </w:r>
      <w:r>
        <w:t xml:space="preserve"> </w:t>
      </w:r>
      <w:r>
        <w:rPr>
          <w:rStyle w:val="VerbatimChar"/>
        </w:rPr>
        <w:t xml:space="preserve">rank_happiness</w:t>
      </w:r>
      <w:r>
        <w:t xml:space="preserve">,</w:t>
      </w:r>
      <w:r>
        <w:t xml:space="preserve"> </w:t>
      </w:r>
      <w:r>
        <w:rPr>
          <w:rStyle w:val="VerbatimChar"/>
        </w:rPr>
        <w:t xml:space="preserve">gdp_per_capita_log</w:t>
      </w:r>
      <w:r>
        <w:t xml:space="preserve">,</w:t>
      </w:r>
      <w:r>
        <w:t xml:space="preserve"> </w:t>
      </w:r>
      <w:r>
        <w:rPr>
          <w:rStyle w:val="VerbatimChar"/>
        </w:rPr>
        <w:t xml:space="preserve">social_support</w:t>
      </w:r>
      <w:r>
        <w:t xml:space="preserve">,</w:t>
      </w:r>
      <w:r>
        <w:t xml:space="preserve"> </w:t>
      </w:r>
      <w:r>
        <w:rPr>
          <w:rStyle w:val="VerbatimChar"/>
        </w:rPr>
        <w:t xml:space="preserve">healthy_life_exp</w:t>
      </w:r>
      <w:r>
        <w:t xml:space="preserve">,</w:t>
      </w:r>
      <w:r>
        <w:t xml:space="preserve"> </w:t>
      </w:r>
      <w:r>
        <w:rPr>
          <w:rStyle w:val="VerbatimChar"/>
        </w:rPr>
        <w:t xml:space="preserve">freedom_choices</w:t>
      </w:r>
      <w:r>
        <w:t xml:space="preserve">,</w:t>
      </w:r>
      <w:r>
        <w:t xml:space="preserve"> </w:t>
      </w:r>
      <w:r>
        <w:rPr>
          <w:rStyle w:val="VerbatimChar"/>
        </w:rPr>
        <w:t xml:space="preserve">generosity</w:t>
      </w:r>
      <w:r>
        <w:t xml:space="preserve">,</w:t>
      </w:r>
      <w:r>
        <w:t xml:space="preserve"> </w:t>
      </w:r>
      <w:r>
        <w:rPr>
          <w:rStyle w:val="VerbatimChar"/>
        </w:rPr>
        <w:t xml:space="preserve">corruption_perception</w:t>
      </w:r>
      <w:r>
        <w:t xml:space="preserve">.</w:t>
      </w:r>
    </w:p>
    <w:p>
      <w:pPr>
        <w:pStyle w:val="Compact"/>
        <w:numPr>
          <w:ilvl w:val="0"/>
          <w:numId w:val="1006"/>
        </w:numPr>
      </w:pPr>
      <w:r>
        <w:rPr>
          <w:b/>
          <w:bCs/>
        </w:rPr>
        <w:t xml:space="preserve">Source 3 – Wikipedia, Literacy Rate :</w:t>
      </w:r>
      <w:r>
        <w:t xml:space="preserve"> </w:t>
      </w:r>
      <w:r>
        <w:t xml:space="preserve">tableau HTML des taux d’alphabétisation adulte par pays. Variable extraite :</w:t>
      </w:r>
      <w:r>
        <w:t xml:space="preserve"> </w:t>
      </w:r>
      <w:r>
        <w:rPr>
          <w:rStyle w:val="VerbatimChar"/>
        </w:rPr>
        <w:t xml:space="preserve">literacy_rate_pct</w:t>
      </w:r>
      <w:r>
        <w:t xml:space="preserve">. Note : cette variable s’est révélée très incomplète dans le dataset final (1,5 % de couverture), limitant son utilisation.</w:t>
      </w:r>
    </w:p>
    <w:p>
      <w:pPr>
        <w:pStyle w:val="Compact"/>
        <w:numPr>
          <w:ilvl w:val="0"/>
          <w:numId w:val="1006"/>
        </w:numPr>
      </w:pPr>
      <w:r>
        <w:rPr>
          <w:b/>
          <w:bCs/>
        </w:rPr>
        <w:t xml:space="preserve">Source 4 – World Bank Open API :</w:t>
      </w:r>
      <w:r>
        <w:t xml:space="preserve"> </w:t>
      </w:r>
      <w:r>
        <w:t xml:space="preserve">interface REST JSON (</w:t>
      </w:r>
      <w:r>
        <w:rPr>
          <w:rStyle w:val="VerbatimChar"/>
        </w:rPr>
        <w:t xml:space="preserve">api.worldbank.org/v2/country/{code}/indicator/{id}</w:t>
      </w:r>
      <w:r>
        <w:t xml:space="preserve">). Variables extraites :</w:t>
      </w:r>
      <w:r>
        <w:t xml:space="preserve"> </w:t>
      </w:r>
      <w:r>
        <w:rPr>
          <w:rStyle w:val="VerbatimChar"/>
        </w:rPr>
        <w:t xml:space="preserve">gov_expenditure_edu_pct_gdp</w:t>
      </w:r>
      <w:r>
        <w:t xml:space="preserve">,</w:t>
      </w:r>
      <w:r>
        <w:t xml:space="preserve"> </w:t>
      </w:r>
      <w:r>
        <w:rPr>
          <w:rStyle w:val="VerbatimChar"/>
        </w:rPr>
        <w:t xml:space="preserve">school_enrollment_secondary_pct</w:t>
      </w:r>
      <w:r>
        <w:t xml:space="preserve">,</w:t>
      </w:r>
      <w:r>
        <w:t xml:space="preserve"> </w:t>
      </w:r>
      <w:r>
        <w:rPr>
          <w:rStyle w:val="VerbatimChar"/>
        </w:rPr>
        <w:t xml:space="preserve">school_enrollment_tertiary_pct</w:t>
      </w:r>
      <w:r>
        <w:t xml:space="preserve">,</w:t>
      </w:r>
      <w:r>
        <w:t xml:space="preserve"> </w:t>
      </w:r>
      <w:r>
        <w:rPr>
          <w:rStyle w:val="VerbatimChar"/>
        </w:rPr>
        <w:t xml:space="preserve">gini_coefficient</w:t>
      </w:r>
      <w:r>
        <w:t xml:space="preserve">,</w:t>
      </w:r>
      <w:r>
        <w:t xml:space="preserve"> </w:t>
      </w:r>
      <w:r>
        <w:rPr>
          <w:rStyle w:val="VerbatimChar"/>
        </w:rPr>
        <w:t xml:space="preserve">pisa_score_avg</w:t>
      </w:r>
      <w:r>
        <w:t xml:space="preserve">.</w:t>
      </w:r>
    </w:p>
    <w:p>
      <w:pPr>
        <w:pStyle w:val="Compact"/>
        <w:numPr>
          <w:ilvl w:val="0"/>
          <w:numId w:val="1006"/>
        </w:numPr>
      </w:pPr>
      <w:r>
        <w:rPr>
          <w:b/>
          <w:bCs/>
        </w:rPr>
        <w:t xml:space="preserve">Source 5 – Wikipedia, Tertiary Attainment :</w:t>
      </w:r>
      <w:r>
        <w:t xml:space="preserve"> </w:t>
      </w:r>
      <w:r>
        <w:t xml:space="preserve">tableau HTML du taux d’accès à l’enseignement supérieur par pays. Variable extraite :</w:t>
      </w:r>
      <w:r>
        <w:t xml:space="preserve"> </w:t>
      </w:r>
      <w:r>
        <w:rPr>
          <w:rStyle w:val="VerbatimChar"/>
        </w:rPr>
        <w:t xml:space="preserve">tertiary_attainment_pct</w:t>
      </w:r>
      <w:r>
        <w:t xml:space="preserve">.</w:t>
      </w:r>
    </w:p>
    <w:bookmarkEnd w:id="15"/>
    <w:bookmarkStart w:id="16" w:name="variables-collectées"/>
    <w:p>
      <w:pPr>
        <w:pStyle w:val="Heading3"/>
      </w:pPr>
      <w:r>
        <w:t xml:space="preserve">2.3 Variables collectées</w:t>
      </w:r>
    </w:p>
    <w:p>
      <w:pPr>
        <w:numPr>
          <w:ilvl w:val="0"/>
          <w:numId w:val="1007"/>
        </w:numPr>
      </w:pPr>
      <w:r>
        <w:rPr>
          <w:b/>
          <w:bCs/>
        </w:rPr>
        <w:t xml:space="preserve">Variable cible (label ML) :</w:t>
      </w:r>
      <w:r>
        <w:t xml:space="preserve"> </w:t>
      </w:r>
      <w:r>
        <w:rPr>
          <w:rStyle w:val="VerbatimChar"/>
        </w:rPr>
        <w:t xml:space="preserve">happiness_score</w:t>
      </w:r>
      <w:r>
        <w:t xml:space="preserve"> </w:t>
      </w:r>
      <w:r>
        <w:t xml:space="preserve">– Score de bonheur national moyen, échelle 0–10, issu du World Happiness Report (méthode Gallup World Poll).</w:t>
      </w:r>
    </w:p>
    <w:p>
      <w:pPr>
        <w:numPr>
          <w:ilvl w:val="0"/>
          <w:numId w:val="1007"/>
        </w:numPr>
      </w:pPr>
      <w:r>
        <w:rPr>
          <w:b/>
          <w:bCs/>
        </w:rPr>
        <w:t xml:space="preserve">Variables éducation :</w:t>
      </w:r>
    </w:p>
    <w:p>
      <w:pPr>
        <w:pStyle w:val="Compact"/>
        <w:numPr>
          <w:ilvl w:val="1"/>
          <w:numId w:val="1008"/>
        </w:numPr>
      </w:pPr>
      <w:r>
        <w:rPr>
          <w:rStyle w:val="VerbatimChar"/>
        </w:rPr>
        <w:t xml:space="preserve">education_index</w:t>
      </w:r>
      <w:r>
        <w:t xml:space="preserve"> </w:t>
      </w:r>
      <w:r>
        <w:t xml:space="preserve">: Indice d’éducation HDI (0–1), composante de l’Indice de Développement Humain du PNUD</w:t>
      </w:r>
    </w:p>
    <w:p>
      <w:pPr>
        <w:pStyle w:val="Compact"/>
        <w:numPr>
          <w:ilvl w:val="1"/>
          <w:numId w:val="1008"/>
        </w:numPr>
      </w:pPr>
      <w:r>
        <w:rPr>
          <w:rStyle w:val="VerbatimChar"/>
        </w:rPr>
        <w:t xml:space="preserve">literacy_rate_pct</w:t>
      </w:r>
      <w:r>
        <w:t xml:space="preserve"> </w:t>
      </w:r>
      <w:r>
        <w:t xml:space="preserve">: Taux d’alphabétisation des adultes (%), très faible couverture (1,5 %)</w:t>
      </w:r>
    </w:p>
    <w:p>
      <w:pPr>
        <w:pStyle w:val="Compact"/>
        <w:numPr>
          <w:ilvl w:val="1"/>
          <w:numId w:val="1008"/>
        </w:numPr>
      </w:pPr>
      <w:r>
        <w:rPr>
          <w:rStyle w:val="VerbatimChar"/>
        </w:rPr>
        <w:t xml:space="preserve">gov_expenditure_edu_pct_gdp</w:t>
      </w:r>
      <w:r>
        <w:t xml:space="preserve"> </w:t>
      </w:r>
      <w:r>
        <w:t xml:space="preserve">: Dépenses publiques consacrées à l’éducation en pourcentage du PIB</w:t>
      </w:r>
    </w:p>
    <w:p>
      <w:pPr>
        <w:pStyle w:val="Compact"/>
        <w:numPr>
          <w:ilvl w:val="1"/>
          <w:numId w:val="1008"/>
        </w:numPr>
      </w:pPr>
      <w:r>
        <w:rPr>
          <w:rStyle w:val="VerbatimChar"/>
        </w:rPr>
        <w:t xml:space="preserve">school_enrollment_secondary_pct</w:t>
      </w:r>
      <w:r>
        <w:t xml:space="preserve"> </w:t>
      </w:r>
      <w:r>
        <w:t xml:space="preserve">: Taux brut de scolarisation dans l’enseignement secondaire (%)</w:t>
      </w:r>
    </w:p>
    <w:p>
      <w:pPr>
        <w:pStyle w:val="Compact"/>
        <w:numPr>
          <w:ilvl w:val="1"/>
          <w:numId w:val="1008"/>
        </w:numPr>
      </w:pPr>
      <w:r>
        <w:rPr>
          <w:rStyle w:val="VerbatimChar"/>
        </w:rPr>
        <w:t xml:space="preserve">school_enrollment_tertiary_pct</w:t>
      </w:r>
      <w:r>
        <w:t xml:space="preserve"> </w:t>
      </w:r>
      <w:r>
        <w:t xml:space="preserve">: Taux brut de scolarisation dans l’enseignement supérieur (%)</w:t>
      </w:r>
    </w:p>
    <w:p>
      <w:pPr>
        <w:pStyle w:val="Compact"/>
        <w:numPr>
          <w:ilvl w:val="1"/>
          <w:numId w:val="1008"/>
        </w:numPr>
      </w:pPr>
      <w:r>
        <w:rPr>
          <w:rStyle w:val="VerbatimChar"/>
        </w:rPr>
        <w:t xml:space="preserve">tertiary_attainment_pct</w:t>
      </w:r>
      <w:r>
        <w:t xml:space="preserve"> </w:t>
      </w:r>
      <w:r>
        <w:t xml:space="preserve">: Part de la population adulte ayant atteint le niveau d’enseignement supérieur (%)</w:t>
      </w:r>
    </w:p>
    <w:p>
      <w:pPr>
        <w:pStyle w:val="Compact"/>
        <w:numPr>
          <w:ilvl w:val="1"/>
          <w:numId w:val="1008"/>
        </w:numPr>
      </w:pPr>
      <w:r>
        <w:rPr>
          <w:rStyle w:val="VerbatimChar"/>
        </w:rPr>
        <w:t xml:space="preserve">pisa_score_avg</w:t>
      </w:r>
      <w:r>
        <w:t xml:space="preserve"> </w:t>
      </w:r>
      <w:r>
        <w:t xml:space="preserve">: Score PISA moyen (mathématiques, lecture, sciences), disponible pour 35 % des pays</w:t>
      </w:r>
    </w:p>
    <w:p>
      <w:pPr>
        <w:numPr>
          <w:ilvl w:val="0"/>
          <w:numId w:val="1007"/>
        </w:numPr>
      </w:pPr>
      <w:r>
        <w:rPr>
          <w:b/>
          <w:bCs/>
        </w:rPr>
        <w:t xml:space="preserve">Variables de contrôle (sous-composantes bonheur WHR) :</w:t>
      </w:r>
    </w:p>
    <w:p>
      <w:pPr>
        <w:pStyle w:val="Compact"/>
        <w:numPr>
          <w:ilvl w:val="1"/>
          <w:numId w:val="1009"/>
        </w:numPr>
      </w:pPr>
      <w:r>
        <w:rPr>
          <w:rStyle w:val="VerbatimChar"/>
        </w:rPr>
        <w:t xml:space="preserve">gdp_per_capita_log</w:t>
      </w:r>
      <w:r>
        <w:t xml:space="preserve"> </w:t>
      </w:r>
      <w:r>
        <w:t xml:space="preserve">: Logarithme du PIB par habitant (USD)</w:t>
      </w:r>
    </w:p>
    <w:p>
      <w:pPr>
        <w:pStyle w:val="Compact"/>
        <w:numPr>
          <w:ilvl w:val="1"/>
          <w:numId w:val="1009"/>
        </w:numPr>
      </w:pPr>
      <w:r>
        <w:rPr>
          <w:rStyle w:val="VerbatimChar"/>
        </w:rPr>
        <w:t xml:space="preserve">social_support</w:t>
      </w:r>
      <w:r>
        <w:t xml:space="preserve"> </w:t>
      </w:r>
      <w:r>
        <w:t xml:space="preserve">: Soutien social perçu (présence de personnes sur qui compter)</w:t>
      </w:r>
    </w:p>
    <w:p>
      <w:pPr>
        <w:pStyle w:val="Compact"/>
        <w:numPr>
          <w:ilvl w:val="1"/>
          <w:numId w:val="1009"/>
        </w:numPr>
      </w:pPr>
      <w:r>
        <w:rPr>
          <w:rStyle w:val="VerbatimChar"/>
        </w:rPr>
        <w:t xml:space="preserve">healthy_life_exp</w:t>
      </w:r>
      <w:r>
        <w:t xml:space="preserve"> </w:t>
      </w:r>
      <w:r>
        <w:t xml:space="preserve">: Espérance de vie en bonne santé</w:t>
      </w:r>
    </w:p>
    <w:p>
      <w:pPr>
        <w:pStyle w:val="Compact"/>
        <w:numPr>
          <w:ilvl w:val="1"/>
          <w:numId w:val="1009"/>
        </w:numPr>
      </w:pPr>
      <w:r>
        <w:rPr>
          <w:rStyle w:val="VerbatimChar"/>
        </w:rPr>
        <w:t xml:space="preserve">freedom_choices</w:t>
      </w:r>
      <w:r>
        <w:t xml:space="preserve"> </w:t>
      </w:r>
      <w:r>
        <w:t xml:space="preserve">: Liberté perçue de faire des choix de vie</w:t>
      </w:r>
    </w:p>
    <w:p>
      <w:pPr>
        <w:pStyle w:val="Compact"/>
        <w:numPr>
          <w:ilvl w:val="1"/>
          <w:numId w:val="1009"/>
        </w:numPr>
      </w:pPr>
      <w:r>
        <w:rPr>
          <w:rStyle w:val="VerbatimChar"/>
        </w:rPr>
        <w:t xml:space="preserve">generosity</w:t>
      </w:r>
      <w:r>
        <w:t xml:space="preserve"> </w:t>
      </w:r>
      <w:r>
        <w:t xml:space="preserve">: Score de générosité (dons, entraide)</w:t>
      </w:r>
    </w:p>
    <w:p>
      <w:pPr>
        <w:pStyle w:val="Compact"/>
        <w:numPr>
          <w:ilvl w:val="1"/>
          <w:numId w:val="1009"/>
        </w:numPr>
      </w:pPr>
      <w:r>
        <w:rPr>
          <w:rStyle w:val="VerbatimChar"/>
        </w:rPr>
        <w:t xml:space="preserve">corruption_perception</w:t>
      </w:r>
      <w:r>
        <w:t xml:space="preserve"> </w:t>
      </w:r>
      <w:r>
        <w:t xml:space="preserve">: Perception de l’absence de corruption gouvernementale</w:t>
      </w:r>
    </w:p>
    <w:bookmarkEnd w:id="16"/>
    <w:bookmarkStart w:id="17" w:name="pipeline-technique"/>
    <w:p>
      <w:pPr>
        <w:pStyle w:val="Heading3"/>
      </w:pPr>
      <w:r>
        <w:t xml:space="preserve">2.4 Pipeline technique</w:t>
      </w:r>
    </w:p>
    <w:p>
      <w:pPr>
        <w:pStyle w:val="FirstParagraph"/>
      </w:pPr>
      <w:r>
        <w:t xml:space="preserve">La collecte et l’intégration des données suivent le pipeline suivant :</w:t>
      </w:r>
    </w:p>
    <w:p>
      <w:pPr>
        <w:pStyle w:val="SourceCode"/>
      </w:pPr>
      <w:r>
        <w:rPr>
          <w:rStyle w:val="VerbatimChar"/>
        </w:rPr>
        <w:t xml:space="preserve">Wikipedia (HTML)              World Bank API (JSON)</w:t>
      </w:r>
      <w:r>
        <w:br/>
      </w:r>
      <w:r>
        <w:rPr>
          <w:rStyle w:val="VerbatimChar"/>
        </w:rPr>
        <w:t xml:space="preserve">       |                              |</w:t>
      </w:r>
      <w:r>
        <w:br/>
      </w:r>
      <w:r>
        <w:rPr>
          <w:rStyle w:val="VerbatimChar"/>
        </w:rPr>
        <w:t xml:space="preserve">  BeautifulSoup + pandas        requests + pandas</w:t>
      </w:r>
      <w:r>
        <w:br/>
      </w:r>
      <w:r>
        <w:rPr>
          <w:rStyle w:val="VerbatimChar"/>
        </w:rPr>
        <w:t xml:space="preserve">  (5 tableaux scrapés)          (5 indicateurs, 1 par pays/année)</w:t>
      </w:r>
      <w:r>
        <w:br/>
      </w:r>
      <w:r>
        <w:rPr>
          <w:rStyle w:val="VerbatimChar"/>
        </w:rPr>
        <w:t xml:space="preserve">       |                              |</w:t>
      </w:r>
      <w:r>
        <w:br/>
      </w:r>
      <w:r>
        <w:rPr>
          <w:rStyle w:val="VerbatimChar"/>
        </w:rPr>
        <w:t xml:space="preserve">       |______________________________|</w:t>
      </w:r>
      <w:r>
        <w:br/>
      </w:r>
      <w:r>
        <w:rPr>
          <w:rStyle w:val="VerbatimChar"/>
        </w:rPr>
        <w:t xml:space="preserve">                     |</w:t>
      </w:r>
      <w:r>
        <w:br/>
      </w:r>
      <w:r>
        <w:rPr>
          <w:rStyle w:val="VerbatimChar"/>
        </w:rPr>
        <w:t xml:space="preserve">        Normalisation des noms de pays</w:t>
      </w:r>
      <w:r>
        <w:br/>
      </w:r>
      <w:r>
        <w:rPr>
          <w:rStyle w:val="VerbatimChar"/>
        </w:rPr>
        <w:t xml:space="preserve">        [make_join_key() : minuscules, suppression accents,</w:t>
      </w:r>
      <w:r>
        <w:br/>
      </w:r>
      <w:r>
        <w:rPr>
          <w:rStyle w:val="VerbatimChar"/>
        </w:rPr>
        <w:t xml:space="preserve">         ponctuation et espaces superflus]</w:t>
      </w:r>
      <w:r>
        <w:br/>
      </w:r>
      <w:r>
        <w:rPr>
          <w:rStyle w:val="VerbatimChar"/>
        </w:rPr>
        <w:t xml:space="preserve">                     |</w:t>
      </w:r>
      <w:r>
        <w:br/>
      </w:r>
      <w:r>
        <w:rPr>
          <w:rStyle w:val="VerbatimChar"/>
        </w:rPr>
        <w:t xml:space="preserve">        Jointures externes (outer join sur clé pays)</w:t>
      </w:r>
      <w:r>
        <w:br/>
      </w:r>
      <w:r>
        <w:rPr>
          <w:rStyle w:val="VerbatimChar"/>
        </w:rPr>
        <w:t xml:space="preserve">                     |</w:t>
      </w:r>
      <w:r>
        <w:br/>
      </w:r>
      <w:r>
        <w:rPr>
          <w:rStyle w:val="VerbatimChar"/>
        </w:rPr>
        <w:t xml:space="preserve">        Filtrage : pays avec au moins 1 variable complète</w:t>
      </w:r>
      <w:r>
        <w:br/>
      </w:r>
      <w:r>
        <w:rPr>
          <w:rStyle w:val="VerbatimChar"/>
        </w:rPr>
        <w:t xml:space="preserve">                     |</w:t>
      </w:r>
      <w:r>
        <w:br/>
      </w:r>
      <w:r>
        <w:rPr>
          <w:rStyle w:val="VerbatimChar"/>
        </w:rPr>
        <w:t xml:space="preserve">        Export : happiness_education_dataset.csv</w:t>
      </w:r>
      <w:r>
        <w:br/>
      </w:r>
      <w:r>
        <w:rPr>
          <w:rStyle w:val="VerbatimChar"/>
        </w:rPr>
        <w:t xml:space="preserve">        (206 pays × 17 variables)</w:t>
      </w:r>
    </w:p>
    <w:p>
      <w:pPr>
        <w:pStyle w:val="FirstParagraph"/>
      </w:pPr>
      <w:r>
        <w:t xml:space="preserve">Environnement Python : conda (</w:t>
      </w:r>
      <w:r>
        <w:rPr>
          <w:rStyle w:val="VerbatimChar"/>
        </w:rPr>
        <w:t xml:space="preserve">scraping</w:t>
      </w:r>
      <w:r>
        <w:t xml:space="preserve">) avec</w:t>
      </w:r>
      <w:r>
        <w:t xml:space="preserve"> </w:t>
      </w:r>
      <w:r>
        <w:rPr>
          <w:rStyle w:val="VerbatimChar"/>
        </w:rPr>
        <w:t xml:space="preserve">requests</w:t>
      </w:r>
      <w:r>
        <w:t xml:space="preserve">,</w:t>
      </w:r>
      <w:r>
        <w:t xml:space="preserve"> </w:t>
      </w:r>
      <w:r>
        <w:rPr>
          <w:rStyle w:val="VerbatimChar"/>
        </w:rPr>
        <w:t xml:space="preserve">beautifulsoup4</w:t>
      </w:r>
      <w:r>
        <w:t xml:space="preserve">,</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geopandas</w:t>
      </w:r>
      <w:r>
        <w:t xml:space="preserve">,</w:t>
      </w:r>
      <w:r>
        <w:t xml:space="preserve"> </w:t>
      </w:r>
      <w:r>
        <w:rPr>
          <w:rStyle w:val="VerbatimChar"/>
        </w:rPr>
        <w:t xml:space="preserve">jupyter</w:t>
      </w:r>
      <w:r>
        <w:t xml:space="preserve">.</w:t>
      </w:r>
      <w:r>
        <w:br/>
      </w:r>
      <w:r>
        <w:t xml:space="preserve">Environnement R :</w:t>
      </w:r>
      <w:r>
        <w:t xml:space="preserve"> </w:t>
      </w:r>
      <w:r>
        <w:rPr>
          <w:rStyle w:val="VerbatimChar"/>
        </w:rPr>
        <w:t xml:space="preserve">flexdashboard</w:t>
      </w:r>
      <w:r>
        <w:t xml:space="preserve">,</w:t>
      </w:r>
      <w:r>
        <w:t xml:space="preserve"> </w:t>
      </w:r>
      <w:r>
        <w:rPr>
          <w:rStyle w:val="VerbatimChar"/>
        </w:rPr>
        <w:t xml:space="preserve">tidyverse</w:t>
      </w:r>
      <w:r>
        <w:t xml:space="preserve">,</w:t>
      </w:r>
      <w:r>
        <w:t xml:space="preserve"> </w:t>
      </w:r>
      <w:r>
        <w:rPr>
          <w:rStyle w:val="VerbatimChar"/>
        </w:rPr>
        <w:t xml:space="preserve">plotly</w:t>
      </w:r>
      <w:r>
        <w:t xml:space="preserve">,</w:t>
      </w:r>
      <w:r>
        <w:t xml:space="preserve"> </w:t>
      </w:r>
      <w:r>
        <w:rPr>
          <w:rStyle w:val="VerbatimChar"/>
        </w:rPr>
        <w:t xml:space="preserve">DT</w:t>
      </w:r>
      <w:r>
        <w:t xml:space="preserve">,</w:t>
      </w:r>
      <w:r>
        <w:t xml:space="preserve"> </w:t>
      </w:r>
      <w:r>
        <w:rPr>
          <w:rStyle w:val="VerbatimChar"/>
        </w:rPr>
        <w:t xml:space="preserve">corrplot</w:t>
      </w:r>
      <w:r>
        <w:t xml:space="preserve">,</w:t>
      </w:r>
      <w:r>
        <w:t xml:space="preserve"> </w:t>
      </w:r>
      <w:r>
        <w:rPr>
          <w:rStyle w:val="VerbatimChar"/>
        </w:rPr>
        <w:t xml:space="preserve">scales</w:t>
      </w:r>
      <w:r>
        <w:t xml:space="preserve">.</w:t>
      </w:r>
    </w:p>
    <w:bookmarkEnd w:id="17"/>
    <w:bookmarkStart w:id="18" w:name="limites-et-biais-potentiels"/>
    <w:p>
      <w:pPr>
        <w:pStyle w:val="Heading3"/>
      </w:pPr>
      <w:r>
        <w:t xml:space="preserve">2.5 Limites et biais potentiels</w:t>
      </w:r>
    </w:p>
    <w:p>
      <w:pPr>
        <w:pStyle w:val="Compact"/>
        <w:numPr>
          <w:ilvl w:val="0"/>
          <w:numId w:val="1010"/>
        </w:numPr>
      </w:pPr>
      <w:r>
        <w:rPr>
          <w:b/>
          <w:bCs/>
        </w:rPr>
        <w:t xml:space="preserve">Données manquantes :</w:t>
      </w:r>
      <w:r>
        <w:t xml:space="preserve"> </w:t>
      </w:r>
      <w:r>
        <w:rPr>
          <w:rStyle w:val="VerbatimChar"/>
        </w:rPr>
        <w:t xml:space="preserve">literacy_rate_pct</w:t>
      </w:r>
      <w:r>
        <w:t xml:space="preserve"> </w:t>
      </w:r>
      <w:r>
        <w:t xml:space="preserve">n’est renseignée que pour 3 pays sur 206 (1,5 %), la rendant inutilisable pour l’analyse. Les scores PISA couvrent seulement 35 % des pays (participants au programme OCDE).</w:t>
      </w:r>
    </w:p>
    <w:p>
      <w:pPr>
        <w:pStyle w:val="Compact"/>
        <w:numPr>
          <w:ilvl w:val="0"/>
          <w:numId w:val="1010"/>
        </w:numPr>
      </w:pPr>
      <w:r>
        <w:rPr>
          <w:b/>
          <w:bCs/>
        </w:rPr>
        <w:t xml:space="preserve">Hétérogénéité temporelle :</w:t>
      </w:r>
      <w:r>
        <w:t xml:space="preserve"> </w:t>
      </w:r>
      <w:r>
        <w:t xml:space="preserve">les indicateurs proviennent d’années différentes (2019–2023) selon la source. L’analyse est donc transversale et non longitudinale.</w:t>
      </w:r>
    </w:p>
    <w:p>
      <w:pPr>
        <w:pStyle w:val="Compact"/>
        <w:numPr>
          <w:ilvl w:val="0"/>
          <w:numId w:val="1010"/>
        </w:numPr>
      </w:pPr>
      <w:r>
        <w:rPr>
          <w:b/>
          <w:bCs/>
        </w:rPr>
        <w:t xml:space="preserve">Biais de disponibilité :</w:t>
      </w:r>
      <w:r>
        <w:t xml:space="preserve"> </w:t>
      </w:r>
      <w:r>
        <w:t xml:space="preserve">les pays les moins bien documentés sont généralement les plus pauvres ou les plus fragiles politiquement, ce qui sous-représente ces populations dans l’analyse.</w:t>
      </w:r>
    </w:p>
    <w:p>
      <w:pPr>
        <w:pStyle w:val="Compact"/>
        <w:numPr>
          <w:ilvl w:val="0"/>
          <w:numId w:val="1010"/>
        </w:numPr>
      </w:pPr>
      <w:r>
        <w:rPr>
          <w:b/>
          <w:bCs/>
        </w:rPr>
        <w:t xml:space="preserve">Causalité impossible :</w:t>
      </w:r>
      <w:r>
        <w:t xml:space="preserve"> </w:t>
      </w:r>
      <w:r>
        <w:t xml:space="preserve">étant purement observationnelle, l’étude ne peut établir de lien de causalité entre éducation et bonheur, seulement des corrélations.</w:t>
      </w:r>
    </w:p>
    <w:p>
      <w:pPr>
        <w:pStyle w:val="Compact"/>
        <w:numPr>
          <w:ilvl w:val="0"/>
          <w:numId w:val="1010"/>
        </w:numPr>
      </w:pPr>
      <w:r>
        <w:rPr>
          <w:b/>
          <w:bCs/>
        </w:rPr>
        <w:t xml:space="preserve">Multicolinéarité :</w:t>
      </w:r>
      <w:r>
        <w:t xml:space="preserve"> </w:t>
      </w:r>
      <w:r>
        <w:t xml:space="preserve">l’éducation, le PIB par habitant et l’espérance de vie sont fortement corrélés entre eux, rendant difficile l’isolation de l’effet propre de chaque variable.</w:t>
      </w:r>
    </w:p>
    <w:p>
      <w:r>
        <w:pict>
          <v:rect style="width:0;height:1.5pt" o:hralign="center" o:hrstd="t" o:hr="t"/>
        </w:pict>
      </w:r>
    </w:p>
    <w:bookmarkEnd w:id="18"/>
    <w:bookmarkEnd w:id="19"/>
    <w:bookmarkStart w:id="36" w:name="description-des-données-collectées"/>
    <w:p>
      <w:pPr>
        <w:pStyle w:val="Heading2"/>
      </w:pPr>
      <w:r>
        <w:t xml:space="preserve">3. Description des données collectées</w:t>
      </w:r>
    </w:p>
    <w:bookmarkStart w:id="20" w:name="aperçu-général-du-dataset"/>
    <w:p>
      <w:pPr>
        <w:pStyle w:val="Heading3"/>
      </w:pPr>
      <w:r>
        <w:t xml:space="preserve">3.1 Aperçu général du dataset</w:t>
      </w:r>
    </w:p>
    <w:p>
      <w:pPr>
        <w:pStyle w:val="Compact"/>
        <w:numPr>
          <w:ilvl w:val="0"/>
          <w:numId w:val="1011"/>
        </w:numPr>
      </w:pPr>
      <w:r>
        <w:rPr>
          <w:b/>
          <w:bCs/>
        </w:rPr>
        <w:t xml:space="preserve">Fichier :</w:t>
      </w:r>
      <w:r>
        <w:t xml:space="preserve"> </w:t>
      </w:r>
      <w:r>
        <w:rPr>
          <w:rStyle w:val="VerbatimChar"/>
        </w:rPr>
        <w:t xml:space="preserve">happiness_education_dataset.csv</w:t>
      </w:r>
    </w:p>
    <w:p>
      <w:pPr>
        <w:pStyle w:val="Compact"/>
        <w:numPr>
          <w:ilvl w:val="0"/>
          <w:numId w:val="1011"/>
        </w:numPr>
      </w:pPr>
      <w:r>
        <w:rPr>
          <w:b/>
          <w:bCs/>
        </w:rPr>
        <w:t xml:space="preserve">Dimensions :</w:t>
      </w:r>
      <w:r>
        <w:t xml:space="preserve"> </w:t>
      </w:r>
      <w:r>
        <w:t xml:space="preserve">206 pays × 17 variables</w:t>
      </w:r>
    </w:p>
    <w:p>
      <w:pPr>
        <w:pStyle w:val="Compact"/>
        <w:numPr>
          <w:ilvl w:val="0"/>
          <w:numId w:val="1011"/>
        </w:numPr>
      </w:pPr>
      <w:r>
        <w:rPr>
          <w:b/>
          <w:bCs/>
        </w:rPr>
        <w:t xml:space="preserve">Variables :</w:t>
      </w:r>
      <w:r>
        <w:t xml:space="preserve"> </w:t>
      </w:r>
      <w:r>
        <w:rPr>
          <w:rStyle w:val="VerbatimChar"/>
        </w:rPr>
        <w:t xml:space="preserve">country</w:t>
      </w:r>
      <w:r>
        <w:t xml:space="preserve">,</w:t>
      </w:r>
      <w:r>
        <w:t xml:space="preserve"> </w:t>
      </w:r>
      <w:r>
        <w:rPr>
          <w:rStyle w:val="VerbatimChar"/>
        </w:rPr>
        <w:t xml:space="preserve">education_index</w:t>
      </w:r>
      <w:r>
        <w:t xml:space="preserve">,</w:t>
      </w:r>
      <w:r>
        <w:t xml:space="preserve"> </w:t>
      </w:r>
      <w:r>
        <w:rPr>
          <w:rStyle w:val="VerbatimChar"/>
        </w:rPr>
        <w:t xml:space="preserve">rank_happiness</w:t>
      </w:r>
      <w:r>
        <w:t xml:space="preserve">,</w:t>
      </w:r>
      <w:r>
        <w:t xml:space="preserve"> </w:t>
      </w:r>
      <w:r>
        <w:rPr>
          <w:rStyle w:val="VerbatimChar"/>
        </w:rPr>
        <w:t xml:space="preserve">happiness_score</w:t>
      </w:r>
      <w:r>
        <w:t xml:space="preserve">,</w:t>
      </w:r>
      <w:r>
        <w:t xml:space="preserve"> </w:t>
      </w:r>
      <w:r>
        <w:rPr>
          <w:rStyle w:val="VerbatimChar"/>
        </w:rPr>
        <w:t xml:space="preserve">gdp_per_capita_log</w:t>
      </w:r>
      <w:r>
        <w:t xml:space="preserve">,</w:t>
      </w:r>
      <w:r>
        <w:t xml:space="preserve"> </w:t>
      </w:r>
      <w:r>
        <w:rPr>
          <w:rStyle w:val="VerbatimChar"/>
        </w:rPr>
        <w:t xml:space="preserve">social_support</w:t>
      </w:r>
      <w:r>
        <w:t xml:space="preserve">,</w:t>
      </w:r>
      <w:r>
        <w:t xml:space="preserve"> </w:t>
      </w:r>
      <w:r>
        <w:rPr>
          <w:rStyle w:val="VerbatimChar"/>
        </w:rPr>
        <w:t xml:space="preserve">healthy_life_exp</w:t>
      </w:r>
      <w:r>
        <w:t xml:space="preserve">,</w:t>
      </w:r>
      <w:r>
        <w:t xml:space="preserve"> </w:t>
      </w:r>
      <w:r>
        <w:rPr>
          <w:rStyle w:val="VerbatimChar"/>
        </w:rPr>
        <w:t xml:space="preserve">freedom_choices</w:t>
      </w:r>
      <w:r>
        <w:t xml:space="preserve">,</w:t>
      </w:r>
      <w:r>
        <w:t xml:space="preserve"> </w:t>
      </w:r>
      <w:r>
        <w:rPr>
          <w:rStyle w:val="VerbatimChar"/>
        </w:rPr>
        <w:t xml:space="preserve">generosity</w:t>
      </w:r>
      <w:r>
        <w:t xml:space="preserve">,</w:t>
      </w:r>
      <w:r>
        <w:t xml:space="preserve"> </w:t>
      </w:r>
      <w:r>
        <w:rPr>
          <w:rStyle w:val="VerbatimChar"/>
        </w:rPr>
        <w:t xml:space="preserve">corruption_perception</w:t>
      </w:r>
      <w:r>
        <w:t xml:space="preserve">,</w:t>
      </w:r>
      <w:r>
        <w:t xml:space="preserve"> </w:t>
      </w:r>
      <w:r>
        <w:rPr>
          <w:rStyle w:val="VerbatimChar"/>
        </w:rPr>
        <w:t xml:space="preserve">literacy_rate_pct</w:t>
      </w:r>
      <w:r>
        <w:t xml:space="preserve">,</w:t>
      </w:r>
      <w:r>
        <w:t xml:space="preserve"> </w:t>
      </w:r>
      <w:r>
        <w:rPr>
          <w:rStyle w:val="VerbatimChar"/>
        </w:rPr>
        <w:t xml:space="preserve">gov_expenditure_edu_pct_gdp</w:t>
      </w:r>
      <w:r>
        <w:t xml:space="preserve">,</w:t>
      </w:r>
      <w:r>
        <w:t xml:space="preserve"> </w:t>
      </w:r>
      <w:r>
        <w:rPr>
          <w:rStyle w:val="VerbatimChar"/>
        </w:rPr>
        <w:t xml:space="preserve">school_enrollment_secondary_pct</w:t>
      </w:r>
      <w:r>
        <w:t xml:space="preserve">,</w:t>
      </w:r>
      <w:r>
        <w:t xml:space="preserve"> </w:t>
      </w:r>
      <w:r>
        <w:rPr>
          <w:rStyle w:val="VerbatimChar"/>
        </w:rPr>
        <w:t xml:space="preserve">school_enrollment_tertiary_pct</w:t>
      </w:r>
      <w:r>
        <w:t xml:space="preserve">,</w:t>
      </w:r>
      <w:r>
        <w:t xml:space="preserve"> </w:t>
      </w:r>
      <w:r>
        <w:rPr>
          <w:rStyle w:val="VerbatimChar"/>
        </w:rPr>
        <w:t xml:space="preserve">tertiary_attainment_pct</w:t>
      </w:r>
      <w:r>
        <w:t xml:space="preserve">,</w:t>
      </w:r>
      <w:r>
        <w:t xml:space="preserve"> </w:t>
      </w:r>
      <w:r>
        <w:rPr>
          <w:rStyle w:val="VerbatimChar"/>
        </w:rPr>
        <w:t xml:space="preserve">gini_coefficient</w:t>
      </w:r>
      <w:r>
        <w:t xml:space="preserve">,</w:t>
      </w:r>
      <w:r>
        <w:t xml:space="preserve"> </w:t>
      </w:r>
      <w:r>
        <w:rPr>
          <w:rStyle w:val="VerbatimChar"/>
        </w:rPr>
        <w:t xml:space="preserve">pisa_score_avg</w:t>
      </w:r>
    </w:p>
    <w:p>
      <w:pPr>
        <w:pStyle w:val="Compact"/>
        <w:numPr>
          <w:ilvl w:val="0"/>
          <w:numId w:val="1011"/>
        </w:numPr>
      </w:pPr>
      <w:r>
        <w:t xml:space="preserve">Toutes les variables numériques sont continues (type float). La seule variable catégorielle est</w:t>
      </w:r>
      <w:r>
        <w:t xml:space="preserve"> </w:t>
      </w:r>
      <w:r>
        <w:rPr>
          <w:rStyle w:val="VerbatimChar"/>
        </w:rPr>
        <w:t xml:space="preserve">country</w:t>
      </w:r>
      <w:r>
        <w:t xml:space="preserve"> </w:t>
      </w:r>
      <w:r>
        <w:t xml:space="preserve">(identifiant).</w:t>
      </w:r>
    </w:p>
    <w:bookmarkEnd w:id="20"/>
    <w:bookmarkStart w:id="21" w:name="complétude-des-données"/>
    <w:p>
      <w:pPr>
        <w:pStyle w:val="Heading3"/>
      </w:pPr>
      <w:r>
        <w:t xml:space="preserve">3.2 Complétude des données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Complétude</w:t>
            </w:r>
          </w:p>
        </w:tc>
      </w:tr>
      <w:tr>
        <w:tc>
          <w:tcPr/>
          <w:p>
            <w:pPr>
              <w:pStyle w:val="Compact"/>
            </w:pPr>
            <w:r>
              <w:rPr>
                <w:rStyle w:val="VerbatimChar"/>
              </w:rPr>
              <w:t xml:space="preserve">country</w:t>
            </w:r>
          </w:p>
        </w:tc>
        <w:tc>
          <w:tcPr/>
          <w:p>
            <w:pPr>
              <w:pStyle w:val="Compact"/>
            </w:pPr>
            <w:r>
              <w:t xml:space="preserve">100,0 %</w:t>
            </w:r>
          </w:p>
        </w:tc>
      </w:tr>
      <w:tr>
        <w:tc>
          <w:tcPr/>
          <w:p>
            <w:pPr>
              <w:pStyle w:val="Compact"/>
            </w:pPr>
            <w:r>
              <w:rPr>
                <w:rStyle w:val="VerbatimChar"/>
              </w:rPr>
              <w:t xml:space="preserve">school_enrollment_secondary_pct</w:t>
            </w:r>
          </w:p>
        </w:tc>
        <w:tc>
          <w:tcPr/>
          <w:p>
            <w:pPr>
              <w:pStyle w:val="Compact"/>
            </w:pPr>
            <w:r>
              <w:t xml:space="preserve">93,7 %</w:t>
            </w:r>
          </w:p>
        </w:tc>
      </w:tr>
      <w:tr>
        <w:tc>
          <w:tcPr/>
          <w:p>
            <w:pPr>
              <w:pStyle w:val="Compact"/>
            </w:pPr>
            <w:r>
              <w:rPr>
                <w:rStyle w:val="VerbatimChar"/>
              </w:rPr>
              <w:t xml:space="preserve">gov_expenditure_edu_pct_gdp</w:t>
            </w:r>
          </w:p>
        </w:tc>
        <w:tc>
          <w:tcPr/>
          <w:p>
            <w:pPr>
              <w:pStyle w:val="Compact"/>
            </w:pPr>
            <w:r>
              <w:t xml:space="preserve">92,2 %</w:t>
            </w:r>
          </w:p>
        </w:tc>
      </w:tr>
      <w:tr>
        <w:tc>
          <w:tcPr/>
          <w:p>
            <w:pPr>
              <w:pStyle w:val="Compact"/>
            </w:pPr>
            <w:r>
              <w:rPr>
                <w:rStyle w:val="VerbatimChar"/>
              </w:rPr>
              <w:t xml:space="preserve">education_index</w:t>
            </w:r>
          </w:p>
        </w:tc>
        <w:tc>
          <w:tcPr/>
          <w:p>
            <w:pPr>
              <w:pStyle w:val="Compact"/>
            </w:pPr>
            <w:r>
              <w:t xml:space="preserve">85,9 %</w:t>
            </w:r>
          </w:p>
        </w:tc>
      </w:tr>
      <w:tr>
        <w:tc>
          <w:tcPr/>
          <w:p>
            <w:pPr>
              <w:pStyle w:val="Compact"/>
            </w:pPr>
            <w:r>
              <w:rPr>
                <w:rStyle w:val="VerbatimChar"/>
              </w:rPr>
              <w:t xml:space="preserve">tertiary_attainment_pct</w:t>
            </w:r>
          </w:p>
        </w:tc>
        <w:tc>
          <w:tcPr/>
          <w:p>
            <w:pPr>
              <w:pStyle w:val="Compact"/>
            </w:pPr>
            <w:r>
              <w:t xml:space="preserve">84,5 %</w:t>
            </w:r>
          </w:p>
        </w:tc>
      </w:tr>
      <w:tr>
        <w:tc>
          <w:tcPr/>
          <w:p>
            <w:pPr>
              <w:pStyle w:val="Compact"/>
            </w:pPr>
            <w:r>
              <w:rPr>
                <w:rStyle w:val="VerbatimChar"/>
              </w:rPr>
              <w:t xml:space="preserve">school_enrollment_tertiary_pct</w:t>
            </w:r>
          </w:p>
        </w:tc>
        <w:tc>
          <w:tcPr/>
          <w:p>
            <w:pPr>
              <w:pStyle w:val="Compact"/>
            </w:pPr>
            <w:r>
              <w:t xml:space="preserve">88,3 %</w:t>
            </w:r>
          </w:p>
        </w:tc>
      </w:tr>
      <w:tr>
        <w:tc>
          <w:tcPr/>
          <w:p>
            <w:pPr>
              <w:pStyle w:val="Compact"/>
            </w:pPr>
            <w:r>
              <w:rPr>
                <w:rStyle w:val="VerbatimChar"/>
              </w:rPr>
              <w:t xml:space="preserve">happiness_score</w:t>
            </w:r>
            <w:r>
              <w:t xml:space="preserve"> </w:t>
            </w:r>
            <w:r>
              <w:t xml:space="preserve">/</w:t>
            </w:r>
            <w:r>
              <w:t xml:space="preserve"> </w:t>
            </w:r>
            <w:r>
              <w:rPr>
                <w:rStyle w:val="VerbatimChar"/>
              </w:rPr>
              <w:t xml:space="preserve">gdp_per_capita_log</w:t>
            </w:r>
            <w:r>
              <w:t xml:space="preserve"> </w:t>
            </w:r>
            <w:r>
              <w:t xml:space="preserve">/</w:t>
            </w:r>
            <w:r>
              <w:t xml:space="preserve"> </w:t>
            </w:r>
            <w:r>
              <w:rPr>
                <w:rStyle w:val="VerbatimChar"/>
              </w:rPr>
              <w:t xml:space="preserve">social_support</w:t>
            </w:r>
            <w:r>
              <w:t xml:space="preserve"> </w:t>
            </w:r>
            <w:r>
              <w:t xml:space="preserve">/</w:t>
            </w:r>
            <w:r>
              <w:t xml:space="preserve"> </w:t>
            </w:r>
            <w:r>
              <w:rPr>
                <w:rStyle w:val="VerbatimChar"/>
              </w:rPr>
              <w:t xml:space="preserve">generosity</w:t>
            </w:r>
          </w:p>
        </w:tc>
        <w:tc>
          <w:tcPr/>
          <w:p>
            <w:pPr>
              <w:pStyle w:val="Compact"/>
            </w:pPr>
            <w:r>
              <w:t xml:space="preserve">71,4 %</w:t>
            </w:r>
          </w:p>
        </w:tc>
      </w:tr>
      <w:tr>
        <w:tc>
          <w:tcPr/>
          <w:p>
            <w:pPr>
              <w:pStyle w:val="Compact"/>
            </w:pPr>
            <w:r>
              <w:rPr>
                <w:rStyle w:val="VerbatimChar"/>
              </w:rPr>
              <w:t xml:space="preserve">healthy_life_exp</w:t>
            </w:r>
            <w:r>
              <w:t xml:space="preserve"> </w:t>
            </w:r>
            <w:r>
              <w:t xml:space="preserve">/</w:t>
            </w:r>
            <w:r>
              <w:t xml:space="preserve"> </w:t>
            </w:r>
            <w:r>
              <w:rPr>
                <w:rStyle w:val="VerbatimChar"/>
              </w:rPr>
              <w:t xml:space="preserve">freedom_choices</w:t>
            </w:r>
            <w:r>
              <w:t xml:space="preserve"> </w:t>
            </w:r>
            <w:r>
              <w:t xml:space="preserve">/</w:t>
            </w:r>
            <w:r>
              <w:t xml:space="preserve"> </w:t>
            </w:r>
            <w:r>
              <w:rPr>
                <w:rStyle w:val="VerbatimChar"/>
              </w:rPr>
              <w:t xml:space="preserve">corruption_perception</w:t>
            </w:r>
          </w:p>
        </w:tc>
        <w:tc>
          <w:tcPr/>
          <w:p>
            <w:pPr>
              <w:pStyle w:val="Compact"/>
            </w:pPr>
            <w:r>
              <w:t xml:space="preserve">70,9 %</w:t>
            </w:r>
          </w:p>
        </w:tc>
      </w:tr>
      <w:tr>
        <w:tc>
          <w:tcPr/>
          <w:p>
            <w:pPr>
              <w:pStyle w:val="Compact"/>
            </w:pPr>
            <w:r>
              <w:rPr>
                <w:rStyle w:val="VerbatimChar"/>
              </w:rPr>
              <w:t xml:space="preserve">gini_coefficient</w:t>
            </w:r>
          </w:p>
        </w:tc>
        <w:tc>
          <w:tcPr/>
          <w:p>
            <w:pPr>
              <w:pStyle w:val="Compact"/>
            </w:pPr>
            <w:r>
              <w:t xml:space="preserve">69,4 %</w:t>
            </w:r>
          </w:p>
        </w:tc>
      </w:tr>
      <w:tr>
        <w:tc>
          <w:tcPr/>
          <w:p>
            <w:pPr>
              <w:pStyle w:val="Compact"/>
            </w:pPr>
            <w:r>
              <w:rPr>
                <w:rStyle w:val="VerbatimChar"/>
              </w:rPr>
              <w:t xml:space="preserve">pisa_score_avg</w:t>
            </w:r>
          </w:p>
        </w:tc>
        <w:tc>
          <w:tcPr/>
          <w:p>
            <w:pPr>
              <w:pStyle w:val="Compact"/>
            </w:pPr>
            <w:r>
              <w:t xml:space="preserve">35,0 %</w:t>
            </w:r>
          </w:p>
        </w:tc>
      </w:tr>
      <w:tr>
        <w:tc>
          <w:tcPr/>
          <w:p>
            <w:pPr>
              <w:pStyle w:val="Compact"/>
            </w:pPr>
            <w:r>
              <w:rPr>
                <w:rStyle w:val="VerbatimChar"/>
              </w:rPr>
              <w:t xml:space="preserve">literacy_rate_pct</w:t>
            </w:r>
          </w:p>
        </w:tc>
        <w:tc>
          <w:tcPr/>
          <w:p>
            <w:pPr>
              <w:pStyle w:val="Compact"/>
            </w:pPr>
            <w:r>
              <w:t xml:space="preserve">1,5 %</w:t>
            </w:r>
            <w:r>
              <w:t xml:space="preserve"> </w:t>
            </w:r>
            <w:r>
              <w:rPr>
                <w:i/>
                <w:iCs/>
              </w:rPr>
              <w:t xml:space="preserve">(inutilisable)</w:t>
            </w:r>
          </w:p>
        </w:tc>
      </w:tr>
    </w:tbl>
    <w:p>
      <w:pPr>
        <w:pStyle w:val="BodyText"/>
      </w:pPr>
      <w:r>
        <w:t xml:space="preserve">La variable</w:t>
      </w:r>
      <w:r>
        <w:t xml:space="preserve"> </w:t>
      </w:r>
      <w:r>
        <w:rPr>
          <w:rStyle w:val="VerbatimChar"/>
        </w:rPr>
        <w:t xml:space="preserve">literacy_rate_pct</w:t>
      </w:r>
      <w:r>
        <w:t xml:space="preserve"> </w:t>
      </w:r>
      <w:r>
        <w:t xml:space="preserve">a été conservée dans le dataset mais exclue des analyses en raison de sa quasi-absence de données.</w:t>
      </w:r>
    </w:p>
    <w:bookmarkEnd w:id="21"/>
    <w:bookmarkStart w:id="22" w:name="statistiques-descriptives"/>
    <w:p>
      <w:pPr>
        <w:pStyle w:val="Heading3"/>
      </w:pPr>
      <w:r>
        <w:t xml:space="preserve">3.3 Statistiques descriptives</w:t>
      </w:r>
    </w:p>
    <w:p>
      <w:pPr>
        <w:pStyle w:val="FirstParagraph"/>
      </w:pPr>
      <w:r>
        <w:rPr>
          <w:b/>
          <w:bCs/>
        </w:rPr>
        <w:t xml:space="preserve">Score de bonheur (</w:t>
      </w:r>
      <w:r>
        <w:rPr>
          <w:rStyle w:val="VerbatimChar"/>
          <w:b/>
          <w:bCs/>
        </w:rPr>
        <w:t xml:space="preserve">happiness_score</w:t>
      </w:r>
      <w:r>
        <w:rPr>
          <w:b/>
          <w:bCs/>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Statistique</w:t>
            </w:r>
          </w:p>
        </w:tc>
        <w:tc>
          <w:tcPr/>
          <w:p>
            <w:pPr>
              <w:pStyle w:val="Compact"/>
            </w:pPr>
            <w:r>
              <w:t xml:space="preserve">Valeur</w:t>
            </w:r>
          </w:p>
        </w:tc>
      </w:tr>
      <w:tr>
        <w:tc>
          <w:tcPr/>
          <w:p>
            <w:pPr>
              <w:pStyle w:val="Compact"/>
            </w:pPr>
            <w:r>
              <w:t xml:space="preserve">N (pays valides)</w:t>
            </w:r>
          </w:p>
        </w:tc>
        <w:tc>
          <w:tcPr/>
          <w:p>
            <w:pPr>
              <w:pStyle w:val="Compact"/>
            </w:pPr>
            <w:r>
              <w:t xml:space="preserve">147</w:t>
            </w:r>
          </w:p>
        </w:tc>
      </w:tr>
      <w:tr>
        <w:tc>
          <w:tcPr/>
          <w:p>
            <w:pPr>
              <w:pStyle w:val="Compact"/>
            </w:pPr>
            <w:r>
              <w:t xml:space="preserve">Moyenne</w:t>
            </w:r>
          </w:p>
        </w:tc>
        <w:tc>
          <w:tcPr/>
          <w:p>
            <w:pPr>
              <w:pStyle w:val="Compact"/>
            </w:pPr>
            <w:r>
              <w:t xml:space="preserve">5,578 / 10</w:t>
            </w:r>
          </w:p>
        </w:tc>
      </w:tr>
      <w:tr>
        <w:tc>
          <w:tcPr/>
          <w:p>
            <w:pPr>
              <w:pStyle w:val="Compact"/>
            </w:pPr>
            <w:r>
              <w:t xml:space="preserve">Médiane</w:t>
            </w:r>
          </w:p>
        </w:tc>
        <w:tc>
          <w:tcPr/>
          <w:p>
            <w:pPr>
              <w:pStyle w:val="Compact"/>
            </w:pPr>
            <w:r>
              <w:t xml:space="preserve">5,868 / 10</w:t>
            </w:r>
          </w:p>
        </w:tc>
      </w:tr>
      <w:tr>
        <w:tc>
          <w:tcPr/>
          <w:p>
            <w:pPr>
              <w:pStyle w:val="Compact"/>
            </w:pPr>
            <w:r>
              <w:t xml:space="preserve">Écart-type</w:t>
            </w:r>
          </w:p>
        </w:tc>
        <w:tc>
          <w:tcPr/>
          <w:p>
            <w:pPr>
              <w:pStyle w:val="Compact"/>
            </w:pPr>
            <w:r>
              <w:t xml:space="preserve">1,158</w:t>
            </w:r>
          </w:p>
        </w:tc>
      </w:tr>
      <w:tr>
        <w:tc>
          <w:tcPr/>
          <w:p>
            <w:pPr>
              <w:pStyle w:val="Compact"/>
            </w:pPr>
            <w:r>
              <w:t xml:space="preserve">Minimum</w:t>
            </w:r>
          </w:p>
        </w:tc>
        <w:tc>
          <w:tcPr/>
          <w:p>
            <w:pPr>
              <w:pStyle w:val="Compact"/>
            </w:pPr>
            <w:r>
              <w:t xml:space="preserve">1,364 — Afghanistan</w:t>
            </w:r>
          </w:p>
        </w:tc>
      </w:tr>
      <w:tr>
        <w:tc>
          <w:tcPr/>
          <w:p>
            <w:pPr>
              <w:pStyle w:val="Compact"/>
            </w:pPr>
            <w:r>
              <w:t xml:space="preserve">Maximum</w:t>
            </w:r>
          </w:p>
        </w:tc>
        <w:tc>
          <w:tcPr/>
          <w:p>
            <w:pPr>
              <w:pStyle w:val="Compact"/>
            </w:pPr>
            <w:r>
              <w:t xml:space="preserve">7,736 — Finlande</w:t>
            </w:r>
          </w:p>
        </w:tc>
      </w:tr>
    </w:tbl>
    <w:p>
      <w:pPr>
        <w:pStyle w:val="BodyText"/>
      </w:pPr>
      <w:r>
        <w:rPr>
          <w:b/>
          <w:bCs/>
        </w:rPr>
        <w:t xml:space="preserve">Indice d’éducation (</w:t>
      </w:r>
      <w:r>
        <w:rPr>
          <w:rStyle w:val="VerbatimChar"/>
          <w:b/>
          <w:bCs/>
        </w:rPr>
        <w:t xml:space="preserve">education_index</w:t>
      </w:r>
      <w:r>
        <w:rPr>
          <w:b/>
          <w:bCs/>
        </w:rP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Statistique</w:t>
            </w:r>
          </w:p>
        </w:tc>
        <w:tc>
          <w:tcPr/>
          <w:p>
            <w:pPr>
              <w:pStyle w:val="Compact"/>
            </w:pPr>
            <w:r>
              <w:t xml:space="preserve">Valeur</w:t>
            </w:r>
          </w:p>
        </w:tc>
      </w:tr>
      <w:tr>
        <w:tc>
          <w:tcPr/>
          <w:p>
            <w:pPr>
              <w:pStyle w:val="Compact"/>
            </w:pPr>
            <w:r>
              <w:t xml:space="preserve">Moyenne</w:t>
            </w:r>
          </w:p>
        </w:tc>
        <w:tc>
          <w:tcPr/>
          <w:p>
            <w:pPr>
              <w:pStyle w:val="Compact"/>
            </w:pPr>
            <w:r>
              <w:t xml:space="preserve">0,664</w:t>
            </w:r>
          </w:p>
        </w:tc>
      </w:tr>
      <w:tr>
        <w:tc>
          <w:tcPr/>
          <w:p>
            <w:pPr>
              <w:pStyle w:val="Compact"/>
            </w:pPr>
            <w:r>
              <w:t xml:space="preserve">Médiane</w:t>
            </w:r>
          </w:p>
        </w:tc>
        <w:tc>
          <w:tcPr/>
          <w:p>
            <w:pPr>
              <w:pStyle w:val="Compact"/>
            </w:pPr>
            <w:r>
              <w:t xml:space="preserve">0,689</w:t>
            </w:r>
          </w:p>
        </w:tc>
      </w:tr>
      <w:tr>
        <w:tc>
          <w:tcPr/>
          <w:p>
            <w:pPr>
              <w:pStyle w:val="Compact"/>
            </w:pPr>
            <w:r>
              <w:t xml:space="preserve">Minimum</w:t>
            </w:r>
          </w:p>
        </w:tc>
        <w:tc>
          <w:tcPr/>
          <w:p>
            <w:pPr>
              <w:pStyle w:val="Compact"/>
            </w:pPr>
            <w:r>
              <w:t xml:space="preserve">0,249 — Niger</w:t>
            </w:r>
          </w:p>
        </w:tc>
      </w:tr>
      <w:tr>
        <w:tc>
          <w:tcPr/>
          <w:p>
            <w:pPr>
              <w:pStyle w:val="Compact"/>
            </w:pPr>
            <w:r>
              <w:t xml:space="preserve">Maximum</w:t>
            </w:r>
          </w:p>
        </w:tc>
        <w:tc>
          <w:tcPr/>
          <w:p>
            <w:pPr>
              <w:pStyle w:val="Compact"/>
            </w:pPr>
            <w:r>
              <w:t xml:space="preserve">0,948 — Royaume-Uni</w:t>
            </w:r>
          </w:p>
        </w:tc>
      </w:tr>
    </w:tbl>
    <w:p>
      <w:pPr>
        <w:pStyle w:val="BodyText"/>
      </w:pPr>
      <w:r>
        <w:rPr>
          <w:b/>
          <w:bCs/>
        </w:rPr>
        <w:t xml:space="preserve">Top 10 pays les plus heureux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Rang</w:t>
            </w:r>
          </w:p>
        </w:tc>
        <w:tc>
          <w:tcPr/>
          <w:p>
            <w:pPr>
              <w:pStyle w:val="Compact"/>
            </w:pPr>
            <w:r>
              <w:t xml:space="preserve">Pays</w:t>
            </w:r>
          </w:p>
        </w:tc>
        <w:tc>
          <w:tcPr/>
          <w:p>
            <w:pPr>
              <w:pStyle w:val="Compact"/>
            </w:pPr>
            <w:r>
              <w:t xml:space="preserve">Score bonheur</w:t>
            </w:r>
          </w:p>
        </w:tc>
        <w:tc>
          <w:tcPr/>
          <w:p>
            <w:pPr>
              <w:pStyle w:val="Compact"/>
            </w:pPr>
            <w:r>
              <w:t xml:space="preserve">Indice éducation</w:t>
            </w:r>
          </w:p>
        </w:tc>
      </w:tr>
      <w:tr>
        <w:tc>
          <w:tcPr/>
          <w:p>
            <w:pPr>
              <w:pStyle w:val="Compact"/>
            </w:pPr>
            <w:r>
              <w:t xml:space="preserve">1</w:t>
            </w:r>
          </w:p>
        </w:tc>
        <w:tc>
          <w:tcPr/>
          <w:p>
            <w:pPr>
              <w:pStyle w:val="Compact"/>
            </w:pPr>
            <w:r>
              <w:t xml:space="preserve">Finlande</w:t>
            </w:r>
          </w:p>
        </w:tc>
        <w:tc>
          <w:tcPr/>
          <w:p>
            <w:pPr>
              <w:pStyle w:val="Compact"/>
            </w:pPr>
            <w:r>
              <w:t xml:space="preserve">7,736</w:t>
            </w:r>
          </w:p>
        </w:tc>
        <w:tc>
          <w:tcPr/>
          <w:p>
            <w:pPr>
              <w:pStyle w:val="Compact"/>
            </w:pPr>
            <w:r>
              <w:t xml:space="preserve">0,927</w:t>
            </w:r>
          </w:p>
        </w:tc>
      </w:tr>
      <w:tr>
        <w:tc>
          <w:tcPr/>
          <w:p>
            <w:pPr>
              <w:pStyle w:val="Compact"/>
            </w:pPr>
            <w:r>
              <w:t xml:space="preserve">2</w:t>
            </w:r>
          </w:p>
        </w:tc>
        <w:tc>
          <w:tcPr/>
          <w:p>
            <w:pPr>
              <w:pStyle w:val="Compact"/>
            </w:pPr>
            <w:r>
              <w:t xml:space="preserve">Danemark</w:t>
            </w:r>
          </w:p>
        </w:tc>
        <w:tc>
          <w:tcPr/>
          <w:p>
            <w:pPr>
              <w:pStyle w:val="Compact"/>
            </w:pPr>
            <w:r>
              <w:t xml:space="preserve">7,521</w:t>
            </w:r>
          </w:p>
        </w:tc>
        <w:tc>
          <w:tcPr/>
          <w:p>
            <w:pPr>
              <w:pStyle w:val="Compact"/>
            </w:pPr>
            <w:r>
              <w:t xml:space="preserve">0,920</w:t>
            </w:r>
          </w:p>
        </w:tc>
      </w:tr>
      <w:tr>
        <w:tc>
          <w:tcPr/>
          <w:p>
            <w:pPr>
              <w:pStyle w:val="Compact"/>
            </w:pPr>
            <w:r>
              <w:t xml:space="preserve">3</w:t>
            </w:r>
          </w:p>
        </w:tc>
        <w:tc>
          <w:tcPr/>
          <w:p>
            <w:pPr>
              <w:pStyle w:val="Compact"/>
            </w:pPr>
            <w:r>
              <w:t xml:space="preserve">Islande</w:t>
            </w:r>
          </w:p>
        </w:tc>
        <w:tc>
          <w:tcPr/>
          <w:p>
            <w:pPr>
              <w:pStyle w:val="Compact"/>
            </w:pPr>
            <w:r>
              <w:t xml:space="preserve">7,515</w:t>
            </w:r>
          </w:p>
        </w:tc>
        <w:tc>
          <w:tcPr/>
          <w:p>
            <w:pPr>
              <w:pStyle w:val="Compact"/>
            </w:pPr>
            <w:r>
              <w:t xml:space="preserve">0,926</w:t>
            </w:r>
          </w:p>
        </w:tc>
      </w:tr>
      <w:tr>
        <w:tc>
          <w:tcPr/>
          <w:p>
            <w:pPr>
              <w:pStyle w:val="Compact"/>
            </w:pPr>
            <w:r>
              <w:t xml:space="preserve">4</w:t>
            </w:r>
          </w:p>
        </w:tc>
        <w:tc>
          <w:tcPr/>
          <w:p>
            <w:pPr>
              <w:pStyle w:val="Compact"/>
            </w:pPr>
            <w:r>
              <w:t xml:space="preserve">Suède</w:t>
            </w:r>
          </w:p>
        </w:tc>
        <w:tc>
          <w:tcPr/>
          <w:p>
            <w:pPr>
              <w:pStyle w:val="Compact"/>
            </w:pPr>
            <w:r>
              <w:t xml:space="preserve">7,345</w:t>
            </w:r>
          </w:p>
        </w:tc>
        <w:tc>
          <w:tcPr/>
          <w:p>
            <w:pPr>
              <w:pStyle w:val="Compact"/>
            </w:pPr>
            <w:r>
              <w:t xml:space="preserve">0,918</w:t>
            </w:r>
          </w:p>
        </w:tc>
      </w:tr>
      <w:tr>
        <w:tc>
          <w:tcPr/>
          <w:p>
            <w:pPr>
              <w:pStyle w:val="Compact"/>
            </w:pPr>
            <w:r>
              <w:t xml:space="preserve">5</w:t>
            </w:r>
          </w:p>
        </w:tc>
        <w:tc>
          <w:tcPr/>
          <w:p>
            <w:pPr>
              <w:pStyle w:val="Compact"/>
            </w:pPr>
            <w:r>
              <w:t xml:space="preserve">Pays-Bas</w:t>
            </w:r>
          </w:p>
        </w:tc>
        <w:tc>
          <w:tcPr/>
          <w:p>
            <w:pPr>
              <w:pStyle w:val="Compact"/>
            </w:pPr>
            <w:r>
              <w:t xml:space="preserve">7,306</w:t>
            </w:r>
          </w:p>
        </w:tc>
        <w:tc>
          <w:tcPr/>
          <w:p>
            <w:pPr>
              <w:pStyle w:val="Compact"/>
            </w:pPr>
            <w:r>
              <w:t xml:space="preserve">0,914</w:t>
            </w:r>
          </w:p>
        </w:tc>
      </w:tr>
      <w:tr>
        <w:tc>
          <w:tcPr/>
          <w:p>
            <w:pPr>
              <w:pStyle w:val="Compact"/>
            </w:pPr>
            <w:r>
              <w:t xml:space="preserve">6</w:t>
            </w:r>
          </w:p>
        </w:tc>
        <w:tc>
          <w:tcPr/>
          <w:p>
            <w:pPr>
              <w:pStyle w:val="Compact"/>
            </w:pPr>
            <w:r>
              <w:t xml:space="preserve">Costa Rica</w:t>
            </w:r>
          </w:p>
        </w:tc>
        <w:tc>
          <w:tcPr/>
          <w:p>
            <w:pPr>
              <w:pStyle w:val="Compact"/>
            </w:pPr>
            <w:r>
              <w:t xml:space="preserve">7,274</w:t>
            </w:r>
          </w:p>
        </w:tc>
        <w:tc>
          <w:tcPr/>
          <w:p>
            <w:pPr>
              <w:pStyle w:val="Compact"/>
            </w:pPr>
            <w:r>
              <w:t xml:space="preserve">0,726</w:t>
            </w:r>
          </w:p>
        </w:tc>
      </w:tr>
      <w:tr>
        <w:tc>
          <w:tcPr/>
          <w:p>
            <w:pPr>
              <w:pStyle w:val="Compact"/>
            </w:pPr>
            <w:r>
              <w:t xml:space="preserve">7</w:t>
            </w:r>
          </w:p>
        </w:tc>
        <w:tc>
          <w:tcPr/>
          <w:p>
            <w:pPr>
              <w:pStyle w:val="Compact"/>
            </w:pPr>
            <w:r>
              <w:t xml:space="preserve">Norvège</w:t>
            </w:r>
          </w:p>
        </w:tc>
        <w:tc>
          <w:tcPr/>
          <w:p>
            <w:pPr>
              <w:pStyle w:val="Compact"/>
            </w:pPr>
            <w:r>
              <w:t xml:space="preserve">7,262</w:t>
            </w:r>
          </w:p>
        </w:tc>
        <w:tc>
          <w:tcPr/>
          <w:p>
            <w:pPr>
              <w:pStyle w:val="Compact"/>
            </w:pPr>
            <w:r>
              <w:t xml:space="preserve">0,930</w:t>
            </w:r>
          </w:p>
        </w:tc>
      </w:tr>
      <w:tr>
        <w:tc>
          <w:tcPr/>
          <w:p>
            <w:pPr>
              <w:pStyle w:val="Compact"/>
            </w:pPr>
            <w:r>
              <w:t xml:space="preserve">8</w:t>
            </w:r>
          </w:p>
        </w:tc>
        <w:tc>
          <w:tcPr/>
          <w:p>
            <w:pPr>
              <w:pStyle w:val="Compact"/>
            </w:pPr>
            <w:r>
              <w:t xml:space="preserve">Israël</w:t>
            </w:r>
          </w:p>
        </w:tc>
        <w:tc>
          <w:tcPr/>
          <w:p>
            <w:pPr>
              <w:pStyle w:val="Compact"/>
            </w:pPr>
            <w:r>
              <w:t xml:space="preserve">7,234</w:t>
            </w:r>
          </w:p>
        </w:tc>
        <w:tc>
          <w:tcPr/>
          <w:p>
            <w:pPr>
              <w:pStyle w:val="Compact"/>
            </w:pPr>
            <w:r>
              <w:t xml:space="preserve">0,883</w:t>
            </w:r>
          </w:p>
        </w:tc>
      </w:tr>
      <w:tr>
        <w:tc>
          <w:tcPr/>
          <w:p>
            <w:pPr>
              <w:pStyle w:val="Compact"/>
            </w:pPr>
            <w:r>
              <w:t xml:space="preserve">9</w:t>
            </w:r>
          </w:p>
        </w:tc>
        <w:tc>
          <w:tcPr/>
          <w:p>
            <w:pPr>
              <w:pStyle w:val="Compact"/>
            </w:pPr>
            <w:r>
              <w:t xml:space="preserve">Luxembourg</w:t>
            </w:r>
          </w:p>
        </w:tc>
        <w:tc>
          <w:tcPr/>
          <w:p>
            <w:pPr>
              <w:pStyle w:val="Compact"/>
            </w:pPr>
            <w:r>
              <w:t xml:space="preserve">7,122</w:t>
            </w:r>
          </w:p>
        </w:tc>
        <w:tc>
          <w:tcPr/>
          <w:p>
            <w:pPr>
              <w:pStyle w:val="Compact"/>
            </w:pPr>
            <w:r>
              <w:t xml:space="preserve">0,806</w:t>
            </w:r>
          </w:p>
        </w:tc>
      </w:tr>
      <w:tr>
        <w:tc>
          <w:tcPr/>
          <w:p>
            <w:pPr>
              <w:pStyle w:val="Compact"/>
            </w:pPr>
            <w:r>
              <w:t xml:space="preserve">10</w:t>
            </w:r>
          </w:p>
        </w:tc>
        <w:tc>
          <w:tcPr/>
          <w:p>
            <w:pPr>
              <w:pStyle w:val="Compact"/>
            </w:pPr>
            <w:r>
              <w:t xml:space="preserve">Mexique</w:t>
            </w:r>
          </w:p>
        </w:tc>
        <w:tc>
          <w:tcPr/>
          <w:p>
            <w:pPr>
              <w:pStyle w:val="Compact"/>
            </w:pPr>
            <w:r>
              <w:t xml:space="preserve">6,979</w:t>
            </w:r>
          </w:p>
        </w:tc>
        <w:tc>
          <w:tcPr/>
          <w:p>
            <w:pPr>
              <w:pStyle w:val="Compact"/>
            </w:pPr>
            <w:r>
              <w:t xml:space="preserve">0,703</w:t>
            </w:r>
          </w:p>
        </w:tc>
      </w:tr>
    </w:tbl>
    <w:bookmarkEnd w:id="22"/>
    <w:bookmarkStart w:id="35" w:name="observations-visuelles"/>
    <w:p>
      <w:pPr>
        <w:pStyle w:val="Heading3"/>
      </w:pPr>
      <w:r>
        <w:t xml:space="preserve">3.4 Observations visuelles</w:t>
      </w:r>
    </w:p>
    <w:p>
      <w:pPr>
        <w:pStyle w:val="FirstParagraph"/>
      </w:pPr>
      <w:r>
        <w:rPr>
          <w:b/>
          <w:bCs/>
        </w:rPr>
        <w:t xml:space="preserve">Distribution du score de bonheur :</w:t>
      </w:r>
    </w:p>
    <w:p>
      <w:pPr>
        <w:pStyle w:val="CaptionedFigure"/>
      </w:pPr>
      <w:r>
        <w:drawing>
          <wp:inline>
            <wp:extent cx="5334000" cy="2667000"/>
            <wp:effectExtent b="0" l="0" r="0" t="0"/>
            <wp:docPr descr="Distribution du score de bonheur" title="" id="24" name="Picture"/>
            <a:graphic>
              <a:graphicData uri="http://schemas.openxmlformats.org/drawingml/2006/picture">
                <pic:pic>
                  <pic:nvPicPr>
                    <pic:cNvPr descr="plots/plot1_distribution_bonheur.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du score de bonheur</w:t>
      </w:r>
    </w:p>
    <w:p>
      <w:pPr>
        <w:pStyle w:val="BodyText"/>
      </w:pPr>
      <w:r>
        <w:t xml:space="preserve">La distribution est légèrement asymétrique à gauche (médiane 5,87 &gt; moyenne 5,58), avec une concentration des pays entre 5 et 7. La ligne rouge indique la moyenne mondiale.</w:t>
      </w:r>
    </w:p>
    <w:p>
      <w:pPr>
        <w:pStyle w:val="BodyText"/>
      </w:pPr>
      <w:r>
        <w:rPr>
          <w:b/>
          <w:bCs/>
        </w:rPr>
        <w:t xml:space="preserve">Distribution de l’indice d’éducation :</w:t>
      </w:r>
    </w:p>
    <w:p>
      <w:pPr>
        <w:pStyle w:val="CaptionedFigure"/>
      </w:pPr>
      <w:r>
        <w:drawing>
          <wp:inline>
            <wp:extent cx="5334000" cy="2667000"/>
            <wp:effectExtent b="0" l="0" r="0" t="0"/>
            <wp:docPr descr="Distribution de l’indice d’éducation" title="" id="27" name="Picture"/>
            <a:graphic>
              <a:graphicData uri="http://schemas.openxmlformats.org/drawingml/2006/picture">
                <pic:pic>
                  <pic:nvPicPr>
                    <pic:cNvPr descr="plots/plot2_distribution_education.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de l’indice d’éducation</w:t>
      </w:r>
    </w:p>
    <w:p>
      <w:pPr>
        <w:pStyle w:val="BodyText"/>
      </w:pPr>
      <w:r>
        <w:t xml:space="preserve">Distribution plus étalée que le bonheur, révélant de grandes disparités mondiales entre pays riches (indice &gt; 0,8) et pays en développement (indice &lt; 0,5).</w:t>
      </w:r>
    </w:p>
    <w:p>
      <w:pPr>
        <w:pStyle w:val="BodyText"/>
      </w:pPr>
      <w:r>
        <w:rPr>
          <w:b/>
          <w:bCs/>
        </w:rPr>
        <w:t xml:space="preserve">Top 20 pays les plus heureux :</w:t>
      </w:r>
    </w:p>
    <w:p>
      <w:pPr>
        <w:pStyle w:val="CaptionedFigure"/>
      </w:pPr>
      <w:r>
        <w:drawing>
          <wp:inline>
            <wp:extent cx="5334000" cy="4667250"/>
            <wp:effectExtent b="0" l="0" r="0" t="0"/>
            <wp:docPr descr="Top 20 pays les plus heureux" title="" id="30" name="Picture"/>
            <a:graphic>
              <a:graphicData uri="http://schemas.openxmlformats.org/drawingml/2006/picture">
                <pic:pic>
                  <pic:nvPicPr>
                    <pic:cNvPr descr="plots/plot3_top20_bonheur.png" id="31" name="Picture"/>
                    <pic:cNvPicPr>
                      <a:picLocks noChangeArrowheads="1" noChangeAspect="1"/>
                    </pic:cNvPicPr>
                  </pic:nvPicPr>
                  <pic:blipFill>
                    <a:blip r:embed="rId29"/>
                    <a:stretch>
                      <a:fillRect/>
                    </a:stretch>
                  </pic:blipFill>
                  <pic:spPr bwMode="auto">
                    <a:xfrm>
                      <a:off x="0" y="0"/>
                      <a:ext cx="5334000" cy="4667250"/>
                    </a:xfrm>
                    <a:prstGeom prst="rect">
                      <a:avLst/>
                    </a:prstGeom>
                    <a:noFill/>
                    <a:ln w="9525">
                      <a:noFill/>
                      <a:headEnd/>
                      <a:tailEnd/>
                    </a:ln>
                  </pic:spPr>
                </pic:pic>
              </a:graphicData>
            </a:graphic>
          </wp:inline>
        </w:drawing>
      </w:r>
    </w:p>
    <w:p>
      <w:pPr>
        <w:pStyle w:val="ImageCaption"/>
      </w:pPr>
      <w:r>
        <w:t xml:space="preserve">Top 20 pays les plus heureux</w:t>
      </w:r>
    </w:p>
    <w:p>
      <w:pPr>
        <w:pStyle w:val="BodyText"/>
      </w:pPr>
      <w:r>
        <w:t xml:space="preserve">Les pays d’Europe du Nord dominent largement le classement. À noter : le Costa Rica (6e) et le Mexique (10e) se distinguent parmi les pays à revenu intermédiaire.</w:t>
      </w:r>
    </w:p>
    <w:p>
      <w:pPr>
        <w:pStyle w:val="BodyText"/>
      </w:pPr>
      <w:r>
        <w:rPr>
          <w:b/>
          <w:bCs/>
        </w:rPr>
        <w:t xml:space="preserve">Score de bonheur par quartile d’éducation :</w:t>
      </w:r>
    </w:p>
    <w:p>
      <w:pPr>
        <w:pStyle w:val="CaptionedFigure"/>
      </w:pPr>
      <w:r>
        <w:drawing>
          <wp:inline>
            <wp:extent cx="5334000" cy="3333750"/>
            <wp:effectExtent b="0" l="0" r="0" t="0"/>
            <wp:docPr descr="Boxplot par quartile d’éducation" title="" id="33" name="Picture"/>
            <a:graphic>
              <a:graphicData uri="http://schemas.openxmlformats.org/drawingml/2006/picture">
                <pic:pic>
                  <pic:nvPicPr>
                    <pic:cNvPr descr="plots/plot4_boxplot_quartiles.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Boxplot par quartile d’éducation</w:t>
      </w:r>
    </w:p>
    <w:p>
      <w:pPr>
        <w:pStyle w:val="BodyText"/>
      </w:pPr>
      <w:r>
        <w:t xml:space="preserve">La tendance est très nette : les pays du quartile supérieur (Q4, éducation élevée) affichent un score de bonheur médian environ 2,5 points supérieur à ceux du quartile inférieur (Q1). L’éducation discrimine fortement le niveau de bonheur.</w:t>
      </w:r>
    </w:p>
    <w:p>
      <w:r>
        <w:pict>
          <v:rect style="width:0;height:1.5pt" o:hralign="center" o:hrstd="t" o:hr="t"/>
        </w:pict>
      </w:r>
    </w:p>
    <w:bookmarkEnd w:id="35"/>
    <w:bookmarkEnd w:id="36"/>
    <w:bookmarkStart w:id="50" w:name="pistes-préliminaires-danalyse-prédictive"/>
    <w:p>
      <w:pPr>
        <w:pStyle w:val="Heading2"/>
      </w:pPr>
      <w:r>
        <w:t xml:space="preserve">4. Pistes préliminaires d’analyse prédictive</w:t>
      </w:r>
    </w:p>
    <w:bookmarkStart w:id="46" w:name="corrélations-observées"/>
    <w:p>
      <w:pPr>
        <w:pStyle w:val="Heading3"/>
      </w:pPr>
      <w:r>
        <w:t xml:space="preserve">4.1 Corrélations observées</w:t>
      </w:r>
    </w:p>
    <w:p>
      <w:pPr>
        <w:pStyle w:val="FirstParagraph"/>
      </w:pPr>
      <w:r>
        <w:rPr>
          <w:b/>
          <w:bCs/>
        </w:rPr>
        <w:t xml:space="preserve">Matrice de corrélation :</w:t>
      </w:r>
    </w:p>
    <w:p>
      <w:pPr>
        <w:pStyle w:val="CaptionedFigure"/>
      </w:pPr>
      <w:r>
        <w:drawing>
          <wp:inline>
            <wp:extent cx="5334000" cy="4148666"/>
            <wp:effectExtent b="0" l="0" r="0" t="0"/>
            <wp:docPr descr="Matrice de corrélation" title="" id="38" name="Picture"/>
            <a:graphic>
              <a:graphicData uri="http://schemas.openxmlformats.org/drawingml/2006/picture">
                <pic:pic>
                  <pic:nvPicPr>
                    <pic:cNvPr descr="plots/plot7_heatmap_correlation.png" id="39" name="Picture"/>
                    <pic:cNvPicPr>
                      <a:picLocks noChangeArrowheads="1" noChangeAspect="1"/>
                    </pic:cNvPicPr>
                  </pic:nvPicPr>
                  <pic:blipFill>
                    <a:blip r:embed="rId37"/>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Matrice de corrélation</w:t>
      </w:r>
    </w:p>
    <w:p>
      <w:pPr>
        <w:pStyle w:val="BodyText"/>
      </w:pPr>
      <w:r>
        <w:rPr>
          <w:b/>
          <w:bCs/>
        </w:rPr>
        <w:t xml:space="preserve">Corrélations classées avec le score de bonheur :</w:t>
      </w:r>
    </w:p>
    <w:p>
      <w:pPr>
        <w:pStyle w:val="CaptionedFigure"/>
      </w:pPr>
      <w:r>
        <w:drawing>
          <wp:inline>
            <wp:extent cx="5334000" cy="3333750"/>
            <wp:effectExtent b="0" l="0" r="0" t="0"/>
            <wp:docPr descr="Corrélations classées" title="" id="41" name="Picture"/>
            <a:graphic>
              <a:graphicData uri="http://schemas.openxmlformats.org/drawingml/2006/picture">
                <pic:pic>
                  <pic:nvPicPr>
                    <pic:cNvPr descr="plots/plot6_correlations.png" id="42"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Corrélations classées</w:t>
      </w:r>
    </w:p>
    <w:p>
      <w:pPr>
        <w:pStyle w:val="BodyText"/>
      </w:pPr>
      <w:r>
        <w:t xml:space="preserve">La matrice de corrélation (Pearson) avec</w:t>
      </w:r>
      <w:r>
        <w:t xml:space="preserve"> </w:t>
      </w:r>
      <w:r>
        <w:rPr>
          <w:rStyle w:val="VerbatimChar"/>
        </w:rPr>
        <w:t xml:space="preserve">happiness_score</w:t>
      </w:r>
      <w:r>
        <w:t xml:space="preserve"> </w:t>
      </w:r>
      <w:r>
        <w:t xml:space="preserve">révèle les résultats suivants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Corrélation avec bonheur (r)</w:t>
            </w:r>
          </w:p>
        </w:tc>
      </w:tr>
      <w:tr>
        <w:tc>
          <w:tcPr/>
          <w:p>
            <w:pPr>
              <w:pStyle w:val="Compact"/>
            </w:pPr>
            <w:r>
              <w:rPr>
                <w:rStyle w:val="VerbatimChar"/>
              </w:rPr>
              <w:t xml:space="preserve">social_support</w:t>
            </w:r>
          </w:p>
        </w:tc>
        <w:tc>
          <w:tcPr/>
          <w:p>
            <w:pPr>
              <w:pStyle w:val="Compact"/>
            </w:pPr>
            <w:r>
              <w:rPr>
                <w:b/>
                <w:bCs/>
              </w:rPr>
              <w:t xml:space="preserve">+0,812</w:t>
            </w:r>
          </w:p>
        </w:tc>
      </w:tr>
      <w:tr>
        <w:tc>
          <w:tcPr/>
          <w:p>
            <w:pPr>
              <w:pStyle w:val="Compact"/>
            </w:pPr>
            <w:r>
              <w:rPr>
                <w:rStyle w:val="VerbatimChar"/>
              </w:rPr>
              <w:t xml:space="preserve">gdp_per_capita_log</w:t>
            </w:r>
          </w:p>
        </w:tc>
        <w:tc>
          <w:tcPr/>
          <w:p>
            <w:pPr>
              <w:pStyle w:val="Compact"/>
            </w:pPr>
            <w:r>
              <w:rPr>
                <w:b/>
                <w:bCs/>
              </w:rPr>
              <w:t xml:space="preserve">+0,763</w:t>
            </w:r>
          </w:p>
        </w:tc>
      </w:tr>
      <w:tr>
        <w:tc>
          <w:tcPr/>
          <w:p>
            <w:pPr>
              <w:pStyle w:val="Compact"/>
            </w:pPr>
            <w:r>
              <w:rPr>
                <w:rStyle w:val="VerbatimChar"/>
              </w:rPr>
              <w:t xml:space="preserve">education_index</w:t>
            </w:r>
          </w:p>
        </w:tc>
        <w:tc>
          <w:tcPr/>
          <w:p>
            <w:pPr>
              <w:pStyle w:val="Compact"/>
            </w:pPr>
            <w:r>
              <w:rPr>
                <w:b/>
                <w:bCs/>
              </w:rPr>
              <w:t xml:space="preserve">+0,748</w:t>
            </w:r>
          </w:p>
        </w:tc>
      </w:tr>
      <w:tr>
        <w:tc>
          <w:tcPr/>
          <w:p>
            <w:pPr>
              <w:pStyle w:val="Compact"/>
            </w:pPr>
            <w:r>
              <w:rPr>
                <w:rStyle w:val="VerbatimChar"/>
              </w:rPr>
              <w:t xml:space="preserve">tertiary_attainment_pct</w:t>
            </w:r>
          </w:p>
        </w:tc>
        <w:tc>
          <w:tcPr/>
          <w:p>
            <w:pPr>
              <w:pStyle w:val="Compact"/>
            </w:pPr>
            <w:r>
              <w:rPr>
                <w:b/>
                <w:bCs/>
              </w:rPr>
              <w:t xml:space="preserve">+0,737</w:t>
            </w:r>
          </w:p>
        </w:tc>
      </w:tr>
      <w:tr>
        <w:tc>
          <w:tcPr/>
          <w:p>
            <w:pPr>
              <w:pStyle w:val="Compact"/>
            </w:pPr>
            <w:r>
              <w:rPr>
                <w:rStyle w:val="VerbatimChar"/>
              </w:rPr>
              <w:t xml:space="preserve">healthy_life_exp</w:t>
            </w:r>
          </w:p>
        </w:tc>
        <w:tc>
          <w:tcPr/>
          <w:p>
            <w:pPr>
              <w:pStyle w:val="Compact"/>
            </w:pPr>
            <w:r>
              <w:rPr>
                <w:b/>
                <w:bCs/>
              </w:rPr>
              <w:t xml:space="preserve">+0,712</w:t>
            </w:r>
          </w:p>
        </w:tc>
      </w:tr>
      <w:tr>
        <w:tc>
          <w:tcPr/>
          <w:p>
            <w:pPr>
              <w:pStyle w:val="Compact"/>
            </w:pPr>
            <w:r>
              <w:rPr>
                <w:rStyle w:val="VerbatimChar"/>
              </w:rPr>
              <w:t xml:space="preserve">school_enrollment_secondary_pct</w:t>
            </w:r>
          </w:p>
        </w:tc>
        <w:tc>
          <w:tcPr/>
          <w:p>
            <w:pPr>
              <w:pStyle w:val="Compact"/>
            </w:pPr>
            <w:r>
              <w:rPr>
                <w:b/>
                <w:bCs/>
              </w:rPr>
              <w:t xml:space="preserve">+0,697</w:t>
            </w:r>
          </w:p>
        </w:tc>
      </w:tr>
      <w:tr>
        <w:tc>
          <w:tcPr/>
          <w:p>
            <w:pPr>
              <w:pStyle w:val="Compact"/>
            </w:pPr>
            <w:r>
              <w:rPr>
                <w:rStyle w:val="VerbatimChar"/>
              </w:rPr>
              <w:t xml:space="preserve">school_enrollment_tertiary_pct</w:t>
            </w:r>
          </w:p>
        </w:tc>
        <w:tc>
          <w:tcPr/>
          <w:p>
            <w:pPr>
              <w:pStyle w:val="Compact"/>
            </w:pPr>
            <w:r>
              <w:rPr>
                <w:b/>
                <w:bCs/>
              </w:rPr>
              <w:t xml:space="preserve">+0,680</w:t>
            </w:r>
          </w:p>
        </w:tc>
      </w:tr>
      <w:tr>
        <w:tc>
          <w:tcPr/>
          <w:p>
            <w:pPr>
              <w:pStyle w:val="Compact"/>
            </w:pPr>
            <w:r>
              <w:rPr>
                <w:rStyle w:val="VerbatimChar"/>
              </w:rPr>
              <w:t xml:space="preserve">freedom_choices</w:t>
            </w:r>
          </w:p>
        </w:tc>
        <w:tc>
          <w:tcPr/>
          <w:p>
            <w:pPr>
              <w:pStyle w:val="Compact"/>
            </w:pPr>
            <w:r>
              <w:rPr>
                <w:b/>
                <w:bCs/>
              </w:rPr>
              <w:t xml:space="preserve">+0,634</w:t>
            </w:r>
          </w:p>
        </w:tc>
      </w:tr>
      <w:tr>
        <w:tc>
          <w:tcPr/>
          <w:p>
            <w:pPr>
              <w:pStyle w:val="Compact"/>
            </w:pPr>
            <w:r>
              <w:rPr>
                <w:rStyle w:val="VerbatimChar"/>
              </w:rPr>
              <w:t xml:space="preserve">corruption_perception</w:t>
            </w:r>
          </w:p>
        </w:tc>
        <w:tc>
          <w:tcPr/>
          <w:p>
            <w:pPr>
              <w:pStyle w:val="Compact"/>
            </w:pPr>
            <w:r>
              <w:t xml:space="preserve">+0,412</w:t>
            </w:r>
          </w:p>
        </w:tc>
      </w:tr>
      <w:tr>
        <w:tc>
          <w:tcPr/>
          <w:p>
            <w:pPr>
              <w:pStyle w:val="Compact"/>
            </w:pPr>
            <w:r>
              <w:rPr>
                <w:rStyle w:val="VerbatimChar"/>
              </w:rPr>
              <w:t xml:space="preserve">pisa_score_avg</w:t>
            </w:r>
          </w:p>
        </w:tc>
        <w:tc>
          <w:tcPr/>
          <w:p>
            <w:pPr>
              <w:pStyle w:val="Compact"/>
            </w:pPr>
            <w:r>
              <w:t xml:space="preserve">+0,397</w:t>
            </w:r>
          </w:p>
        </w:tc>
      </w:tr>
      <w:tr>
        <w:tc>
          <w:tcPr/>
          <w:p>
            <w:pPr>
              <w:pStyle w:val="Compact"/>
            </w:pPr>
            <w:r>
              <w:rPr>
                <w:rStyle w:val="VerbatimChar"/>
              </w:rPr>
              <w:t xml:space="preserve">gov_expenditure_edu_pct_gdp</w:t>
            </w:r>
          </w:p>
        </w:tc>
        <w:tc>
          <w:tcPr/>
          <w:p>
            <w:pPr>
              <w:pStyle w:val="Compact"/>
            </w:pPr>
            <w:r>
              <w:t xml:space="preserve">+0,319</w:t>
            </w:r>
          </w:p>
        </w:tc>
      </w:tr>
      <w:tr>
        <w:tc>
          <w:tcPr/>
          <w:p>
            <w:pPr>
              <w:pStyle w:val="Compact"/>
            </w:pPr>
            <w:r>
              <w:rPr>
                <w:rStyle w:val="VerbatimChar"/>
              </w:rPr>
              <w:t xml:space="preserve">generosity</w:t>
            </w:r>
          </w:p>
        </w:tc>
        <w:tc>
          <w:tcPr/>
          <w:p>
            <w:pPr>
              <w:pStyle w:val="Compact"/>
            </w:pPr>
            <w:r>
              <w:t xml:space="preserve">+0,054</w:t>
            </w:r>
          </w:p>
        </w:tc>
      </w:tr>
      <w:tr>
        <w:tc>
          <w:tcPr/>
          <w:p>
            <w:pPr>
              <w:pStyle w:val="Compact"/>
            </w:pPr>
            <w:r>
              <w:rPr>
                <w:rStyle w:val="VerbatimChar"/>
              </w:rPr>
              <w:t xml:space="preserve">gini_coefficient</w:t>
            </w:r>
          </w:p>
        </w:tc>
        <w:tc>
          <w:tcPr/>
          <w:p>
            <w:pPr>
              <w:pStyle w:val="Compact"/>
            </w:pPr>
            <w:r>
              <w:t xml:space="preserve">-0,165</w:t>
            </w:r>
          </w:p>
        </w:tc>
      </w:tr>
    </w:tbl>
    <w:p>
      <w:pPr>
        <w:pStyle w:val="BodyText"/>
      </w:pPr>
      <w:r>
        <w:rPr>
          <w:b/>
          <w:bCs/>
        </w:rPr>
        <w:t xml:space="preserve">Scatter : Éducation vs Bonheur :</w:t>
      </w:r>
    </w:p>
    <w:p>
      <w:pPr>
        <w:pStyle w:val="CaptionedFigure"/>
      </w:pPr>
      <w:r>
        <w:drawing>
          <wp:inline>
            <wp:extent cx="5334000" cy="3333750"/>
            <wp:effectExtent b="0" l="0" r="0" t="0"/>
            <wp:docPr descr="Scatter éducation vs bonheur" title="" id="44" name="Picture"/>
            <a:graphic>
              <a:graphicData uri="http://schemas.openxmlformats.org/drawingml/2006/picture">
                <pic:pic>
                  <pic:nvPicPr>
                    <pic:cNvPr descr="plots/plot5_scatter_education_bonheur.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Scatter éducation vs bonheur</w:t>
      </w:r>
    </w:p>
    <w:p>
      <w:pPr>
        <w:pStyle w:val="BodyText"/>
      </w:pPr>
      <w:r>
        <w:t xml:space="preserve">Chaque point représente un pays. La couleur indique le PIB par habitant (log) — on observe que les pays riches (jaune) ont tendanciellement un indice d’éducation et un score de bonheur élevés, ce qui soulève la question de la multicolinéarité.</w:t>
      </w:r>
    </w:p>
    <w:bookmarkEnd w:id="46"/>
    <w:bookmarkStart w:id="47" w:name="Xea2f8a585519d7a344a98f62c4cd39cd9d34c5d"/>
    <w:p>
      <w:pPr>
        <w:pStyle w:val="Heading3"/>
      </w:pPr>
      <w:r>
        <w:t xml:space="preserve">4.2 Variables les plus prédictives du bonheur</w:t>
      </w:r>
    </w:p>
    <w:p>
      <w:pPr>
        <w:pStyle w:val="Compact"/>
        <w:numPr>
          <w:ilvl w:val="0"/>
          <w:numId w:val="1012"/>
        </w:numPr>
      </w:pPr>
      <w:r>
        <w:rPr>
          <w:b/>
          <w:bCs/>
        </w:rPr>
        <w:t xml:space="preserve">Le soutien social</w:t>
      </w:r>
      <w:r>
        <w:t xml:space="preserve"> </w:t>
      </w:r>
      <w:r>
        <w:t xml:space="preserve">est la variable la plus corrélée au bonheur (r = 0,812), devant le PIB par habitant (r = 0,763).</w:t>
      </w:r>
    </w:p>
    <w:p>
      <w:pPr>
        <w:pStyle w:val="Compact"/>
        <w:numPr>
          <w:ilvl w:val="0"/>
          <w:numId w:val="1012"/>
        </w:numPr>
      </w:pPr>
      <w:r>
        <w:rPr>
          <w:b/>
          <w:bCs/>
        </w:rPr>
        <w:t xml:space="preserve">L’indice d’éducation</w:t>
      </w:r>
      <w:r>
        <w:t xml:space="preserve"> </w:t>
      </w:r>
      <w:r>
        <w:t xml:space="preserve">est le troisième prédicteur le plus fort (r = 0,748, R² = 0,560), confirmant l’hypothèse initiale : à lui seul, il explique 56 % de la variance du bonheur entre pays.</w:t>
      </w:r>
    </w:p>
    <w:p>
      <w:pPr>
        <w:pStyle w:val="Compact"/>
        <w:numPr>
          <w:ilvl w:val="0"/>
          <w:numId w:val="1012"/>
        </w:numPr>
      </w:pPr>
      <w:r>
        <w:t xml:space="preserve">Parmi les variables purement éducatives,</w:t>
      </w:r>
      <w:r>
        <w:t xml:space="preserve"> </w:t>
      </w:r>
      <w:r>
        <w:rPr>
          <w:rStyle w:val="VerbatimChar"/>
        </w:rPr>
        <w:t xml:space="preserve">tertiary_attainment_pct</w:t>
      </w:r>
      <w:r>
        <w:t xml:space="preserve"> </w:t>
      </w:r>
      <w:r>
        <w:t xml:space="preserve">(r = 0,737) et</w:t>
      </w:r>
      <w:r>
        <w:t xml:space="preserve"> </w:t>
      </w:r>
      <w:r>
        <w:rPr>
          <w:rStyle w:val="VerbatimChar"/>
        </w:rPr>
        <w:t xml:space="preserve">school_enrollment_secondary_pct</w:t>
      </w:r>
      <w:r>
        <w:t xml:space="preserve"> </w:t>
      </w:r>
      <w:r>
        <w:t xml:space="preserve">(r = 0,697) sont de bons prédicteurs supplémentaires.</w:t>
      </w:r>
    </w:p>
    <w:p>
      <w:pPr>
        <w:pStyle w:val="Compact"/>
        <w:numPr>
          <w:ilvl w:val="0"/>
          <w:numId w:val="1012"/>
        </w:numPr>
      </w:pPr>
      <w:r>
        <w:rPr>
          <w:rStyle w:val="VerbatimChar"/>
        </w:rPr>
        <w:t xml:space="preserve">gov_expenditure_edu_pct_gdp</w:t>
      </w:r>
      <w:r>
        <w:t xml:space="preserve"> </w:t>
      </w:r>
      <w:r>
        <w:t xml:space="preserve">(dépenses éducation en % PIB) présente une corrélation plus faible (r = 0,319), suggérant que le volume de dépenses ne suffit pas à garantir un haut niveau d’éducation.</w:t>
      </w:r>
    </w:p>
    <w:p>
      <w:pPr>
        <w:pStyle w:val="Compact"/>
        <w:numPr>
          <w:ilvl w:val="0"/>
          <w:numId w:val="1012"/>
        </w:numPr>
      </w:pPr>
      <w:r>
        <w:rPr>
          <w:rStyle w:val="VerbatimChar"/>
        </w:rPr>
        <w:t xml:space="preserve">pisa_score_avg</w:t>
      </w:r>
      <w:r>
        <w:t xml:space="preserve"> </w:t>
      </w:r>
      <w:r>
        <w:t xml:space="preserve">est un bon indicateur qualitatif (r = 0,397), mais sa faible couverture (35 % des pays) limite son utilisation.</w:t>
      </w:r>
    </w:p>
    <w:p>
      <w:pPr>
        <w:pStyle w:val="Compact"/>
        <w:numPr>
          <w:ilvl w:val="0"/>
          <w:numId w:val="1012"/>
        </w:numPr>
      </w:pPr>
      <w:r>
        <w:rPr>
          <w:b/>
          <w:bCs/>
        </w:rPr>
        <w:t xml:space="preserve">Multicolinéarité notable :</w:t>
      </w:r>
      <w:r>
        <w:t xml:space="preserve"> </w:t>
      </w:r>
      <w:r>
        <w:rPr>
          <w:rStyle w:val="VerbatimChar"/>
        </w:rPr>
        <w:t xml:space="preserve">education_index</w:t>
      </w:r>
      <w:r>
        <w:t xml:space="preserve">,</w:t>
      </w:r>
      <w:r>
        <w:t xml:space="preserve"> </w:t>
      </w:r>
      <w:r>
        <w:rPr>
          <w:rStyle w:val="VerbatimChar"/>
        </w:rPr>
        <w:t xml:space="preserve">gdp_per_capita_log</w:t>
      </w:r>
      <w:r>
        <w:t xml:space="preserve"> </w:t>
      </w:r>
      <w:r>
        <w:t xml:space="preserve">et</w:t>
      </w:r>
      <w:r>
        <w:t xml:space="preserve"> </w:t>
      </w:r>
      <w:r>
        <w:rPr>
          <w:rStyle w:val="VerbatimChar"/>
        </w:rPr>
        <w:t xml:space="preserve">healthy_life_exp</w:t>
      </w:r>
      <w:r>
        <w:t xml:space="preserve"> </w:t>
      </w:r>
      <w:r>
        <w:t xml:space="preserve">sont fortement corrélés entre eux, ce qui complique l’isolation de l’effet propre de l’éducation.</w:t>
      </w:r>
    </w:p>
    <w:bookmarkEnd w:id="47"/>
    <w:bookmarkStart w:id="48" w:name="modèles-envisagés"/>
    <w:p>
      <w:pPr>
        <w:pStyle w:val="Heading3"/>
      </w:pPr>
      <w:r>
        <w:t xml:space="preserve">4.3 Modèles envisagés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Modèle</w:t>
            </w:r>
          </w:p>
        </w:tc>
        <w:tc>
          <w:tcPr/>
          <w:p>
            <w:pPr>
              <w:pStyle w:val="Compact"/>
            </w:pPr>
            <w:r>
              <w:t xml:space="preserve">Justification</w:t>
            </w:r>
          </w:p>
        </w:tc>
      </w:tr>
      <w:tr>
        <w:tc>
          <w:tcPr/>
          <w:p>
            <w:pPr>
              <w:pStyle w:val="Compact"/>
            </w:pPr>
            <w:r>
              <w:rPr>
                <w:b/>
                <w:bCs/>
              </w:rPr>
              <w:t xml:space="preserve">Régression linéaire multiple</w:t>
            </w:r>
          </w:p>
        </w:tc>
        <w:tc>
          <w:tcPr/>
          <w:p>
            <w:pPr>
              <w:pStyle w:val="Compact"/>
            </w:pPr>
            <w:r>
              <w:t xml:space="preserve">Baseline interprétable ; permet de tester la contribution de chaque variable de façon contrôlée</w:t>
            </w:r>
          </w:p>
        </w:tc>
      </w:tr>
      <w:tr>
        <w:tc>
          <w:tcPr/>
          <w:p>
            <w:pPr>
              <w:pStyle w:val="Compact"/>
            </w:pPr>
            <w:r>
              <w:rPr>
                <w:b/>
                <w:bCs/>
              </w:rPr>
              <w:t xml:space="preserve">Ridge / Lasso</w:t>
            </w:r>
          </w:p>
        </w:tc>
        <w:tc>
          <w:tcPr/>
          <w:p>
            <w:pPr>
              <w:pStyle w:val="Compact"/>
            </w:pPr>
            <w:r>
              <w:t xml:space="preserve">Approprié étant donnée la forte multicolinéarité entre variables éducatives et économiques ; Lasso permet aussi la sélection de variables</w:t>
            </w:r>
          </w:p>
        </w:tc>
      </w:tr>
      <w:tr>
        <w:tc>
          <w:tcPr/>
          <w:p>
            <w:pPr>
              <w:pStyle w:val="Compact"/>
            </w:pPr>
            <w:r>
              <w:rPr>
                <w:b/>
                <w:bCs/>
              </w:rPr>
              <w:t xml:space="preserve">Random Forest Regressor</w:t>
            </w:r>
          </w:p>
        </w:tc>
        <w:tc>
          <w:tcPr/>
          <w:p>
            <w:pPr>
              <w:pStyle w:val="Compact"/>
            </w:pPr>
            <w:r>
              <w:t xml:space="preserve">Capture les non-linéarités potentielles, gère les valeurs manquantes, fournit l’importance des variables</w:t>
            </w:r>
          </w:p>
        </w:tc>
      </w:tr>
      <w:tr>
        <w:tc>
          <w:tcPr/>
          <w:p>
            <w:pPr>
              <w:pStyle w:val="Compact"/>
            </w:pPr>
            <w:r>
              <w:rPr>
                <w:b/>
                <w:bCs/>
              </w:rPr>
              <w:t xml:space="preserve">Gradient Boosting (XGBoost)</w:t>
            </w:r>
          </w:p>
        </w:tc>
        <w:tc>
          <w:tcPr/>
          <w:p>
            <w:pPr>
              <w:pStyle w:val="Compact"/>
            </w:pPr>
            <w:r>
              <w:t xml:space="preserve">Plus performant sur données tabulaires hétérogènes ; robuste aux outliers</w:t>
            </w:r>
          </w:p>
        </w:tc>
      </w:tr>
    </w:tbl>
    <w:p>
      <w:pPr>
        <w:pStyle w:val="Compact"/>
        <w:numPr>
          <w:ilvl w:val="0"/>
          <w:numId w:val="1013"/>
        </w:numPr>
      </w:pPr>
      <w:r>
        <w:rPr>
          <w:b/>
          <w:bCs/>
        </w:rPr>
        <w:t xml:space="preserve">Variable cible :</w:t>
      </w:r>
      <w:r>
        <w:t xml:space="preserve"> </w:t>
      </w:r>
      <w:r>
        <w:rPr>
          <w:rStyle w:val="VerbatimChar"/>
        </w:rPr>
        <w:t xml:space="preserve">happiness_score</w:t>
      </w:r>
    </w:p>
    <w:p>
      <w:pPr>
        <w:pStyle w:val="Compact"/>
        <w:numPr>
          <w:ilvl w:val="0"/>
          <w:numId w:val="1013"/>
        </w:numPr>
      </w:pPr>
      <w:r>
        <w:rPr>
          <w:b/>
          <w:bCs/>
        </w:rPr>
        <w:t xml:space="preserve">Features recommandées :</w:t>
      </w:r>
      <w:r>
        <w:t xml:space="preserve"> </w:t>
      </w:r>
      <w:r>
        <w:rPr>
          <w:rStyle w:val="VerbatimChar"/>
        </w:rPr>
        <w:t xml:space="preserve">education_index</w:t>
      </w:r>
      <w:r>
        <w:t xml:space="preserve">,</w:t>
      </w:r>
      <w:r>
        <w:t xml:space="preserve"> </w:t>
      </w:r>
      <w:r>
        <w:rPr>
          <w:rStyle w:val="VerbatimChar"/>
        </w:rPr>
        <w:t xml:space="preserve">gdp_per_capita_log</w:t>
      </w:r>
      <w:r>
        <w:t xml:space="preserve">,</w:t>
      </w:r>
      <w:r>
        <w:t xml:space="preserve"> </w:t>
      </w:r>
      <w:r>
        <w:rPr>
          <w:rStyle w:val="VerbatimChar"/>
        </w:rPr>
        <w:t xml:space="preserve">social_support</w:t>
      </w:r>
      <w:r>
        <w:t xml:space="preserve">,</w:t>
      </w:r>
      <w:r>
        <w:t xml:space="preserve"> </w:t>
      </w:r>
      <w:r>
        <w:rPr>
          <w:rStyle w:val="VerbatimChar"/>
        </w:rPr>
        <w:t xml:space="preserve">healthy_life_exp</w:t>
      </w:r>
      <w:r>
        <w:t xml:space="preserve">,</w:t>
      </w:r>
      <w:r>
        <w:t xml:space="preserve"> </w:t>
      </w:r>
      <w:r>
        <w:rPr>
          <w:rStyle w:val="VerbatimChar"/>
        </w:rPr>
        <w:t xml:space="preserve">tertiary_attainment_pct</w:t>
      </w:r>
      <w:r>
        <w:t xml:space="preserve">,</w:t>
      </w:r>
      <w:r>
        <w:t xml:space="preserve"> </w:t>
      </w:r>
      <w:r>
        <w:rPr>
          <w:rStyle w:val="VerbatimChar"/>
        </w:rPr>
        <w:t xml:space="preserve">school_enrollment_secondary_pct</w:t>
      </w:r>
      <w:r>
        <w:t xml:space="preserve">,</w:t>
      </w:r>
      <w:r>
        <w:t xml:space="preserve"> </w:t>
      </w:r>
      <w:r>
        <w:rPr>
          <w:rStyle w:val="VerbatimChar"/>
        </w:rPr>
        <w:t xml:space="preserve">freedom_choices</w:t>
      </w:r>
    </w:p>
    <w:bookmarkEnd w:id="48"/>
    <w:bookmarkStart w:id="49" w:name="limites-de-lanalyse-actuelle"/>
    <w:p>
      <w:pPr>
        <w:pStyle w:val="Heading3"/>
      </w:pPr>
      <w:r>
        <w:t xml:space="preserve">4.4 Limites de l’analyse actuelle</w:t>
      </w:r>
    </w:p>
    <w:p>
      <w:pPr>
        <w:pStyle w:val="Compact"/>
        <w:numPr>
          <w:ilvl w:val="0"/>
          <w:numId w:val="1014"/>
        </w:numPr>
      </w:pPr>
      <w:r>
        <w:t xml:space="preserve">L’analyse est uniquement</w:t>
      </w:r>
      <w:r>
        <w:t xml:space="preserve"> </w:t>
      </w:r>
      <w:r>
        <w:rPr>
          <w:b/>
          <w:bCs/>
        </w:rPr>
        <w:t xml:space="preserve">corrélative</w:t>
      </w:r>
      <w:r>
        <w:t xml:space="preserve"> </w:t>
      </w:r>
      <w:r>
        <w:t xml:space="preserve">: il est impossible de conclure que l’éducation</w:t>
      </w:r>
      <w:r>
        <w:t xml:space="preserve"> </w:t>
      </w:r>
      <w:r>
        <w:rPr>
          <w:i/>
          <w:iCs/>
        </w:rPr>
        <w:t xml:space="preserve">cause</w:t>
      </w:r>
      <w:r>
        <w:t xml:space="preserve"> </w:t>
      </w:r>
      <w:r>
        <w:t xml:space="preserve">le bonheur. La relation pourrait être médiatisée par le PIB (les pays riches investissent plus dans l’éducation</w:t>
      </w:r>
      <w:r>
        <w:t xml:space="preserve"> </w:t>
      </w:r>
      <w:r>
        <w:rPr>
          <w:i/>
          <w:iCs/>
        </w:rPr>
        <w:t xml:space="preserve">et</w:t>
      </w:r>
      <w:r>
        <w:t xml:space="preserve"> </w:t>
      </w:r>
      <w:r>
        <w:t xml:space="preserve">ont des populations plus heureuses).</w:t>
      </w:r>
    </w:p>
    <w:p>
      <w:pPr>
        <w:pStyle w:val="Compact"/>
        <w:numPr>
          <w:ilvl w:val="0"/>
          <w:numId w:val="1014"/>
        </w:numPr>
      </w:pPr>
      <w:r>
        <w:t xml:space="preserve">Le faible taux de complétude de certaines variables (</w:t>
      </w:r>
      <w:r>
        <w:rPr>
          <w:rStyle w:val="VerbatimChar"/>
        </w:rPr>
        <w:t xml:space="preserve">pisa_score_avg</w:t>
      </w:r>
      <w:r>
        <w:t xml:space="preserve"> </w:t>
      </w:r>
      <w:r>
        <w:t xml:space="preserve">à 35 %) réduit la taille de l’échantillon utilisable pour les modèles nécessitant toutes les variables.</w:t>
      </w:r>
    </w:p>
    <w:p>
      <w:pPr>
        <w:pStyle w:val="Compact"/>
        <w:numPr>
          <w:ilvl w:val="0"/>
          <w:numId w:val="1014"/>
        </w:numPr>
      </w:pPr>
      <w:r>
        <w:t xml:space="preserve">L’analyse est</w:t>
      </w:r>
      <w:r>
        <w:t xml:space="preserve"> </w:t>
      </w:r>
      <w:r>
        <w:rPr>
          <w:b/>
          <w:bCs/>
        </w:rPr>
        <w:t xml:space="preserve">transversale</w:t>
      </w:r>
      <w:r>
        <w:t xml:space="preserve"> </w:t>
      </w:r>
      <w:r>
        <w:t xml:space="preserve">(une observation par pays) ; une étude longitudinale (évolution dans le temps) apporterait des informations sur la dynamique causale.</w:t>
      </w:r>
    </w:p>
    <w:p>
      <w:pPr>
        <w:pStyle w:val="Compact"/>
        <w:numPr>
          <w:ilvl w:val="0"/>
          <w:numId w:val="1014"/>
        </w:numPr>
      </w:pPr>
      <w:r>
        <w:t xml:space="preserve">Les modèles ML proposés restent à implémenter et évaluer (validation croisée, métriques RMSE / R²).</w:t>
      </w:r>
    </w:p>
    <w:p>
      <w:r>
        <w:pict>
          <v:rect style="width:0;height:1.5pt" o:hralign="center" o:hrstd="t" o:hr="t"/>
        </w:pict>
      </w:r>
    </w:p>
    <w:bookmarkEnd w:id="49"/>
    <w:bookmarkEnd w:id="50"/>
    <w:bookmarkStart w:id="51" w:name="conclusion"/>
    <w:p>
      <w:pPr>
        <w:pStyle w:val="Heading2"/>
      </w:pPr>
      <w:r>
        <w:t xml:space="preserve">Conclusion</w:t>
      </w:r>
    </w:p>
    <w:p>
      <w:pPr>
        <w:pStyle w:val="Compact"/>
        <w:numPr>
          <w:ilvl w:val="0"/>
          <w:numId w:val="1015"/>
        </w:numPr>
      </w:pPr>
      <w:r>
        <w:t xml:space="preserve">Ce projet a permis de collecter, nettoyer et intégrer des données sur l’éducation et le bonheur de 206 pays à partir de sources hétérogènes (scraping Wikipedia, API Banque Mondiale), produisant un dataset de 17 variables.</w:t>
      </w:r>
    </w:p>
    <w:p>
      <w:pPr>
        <w:pStyle w:val="Compact"/>
        <w:numPr>
          <w:ilvl w:val="0"/>
          <w:numId w:val="1015"/>
        </w:numPr>
      </w:pPr>
      <w:r>
        <w:t xml:space="preserve">Les résultats descriptifs et corrélatifs confirment l’hypothèse de départ :</w:t>
      </w:r>
      <w:r>
        <w:t xml:space="preserve"> </w:t>
      </w:r>
      <w:r>
        <w:rPr>
          <w:b/>
          <w:bCs/>
        </w:rPr>
        <w:t xml:space="preserve">l’indice d’éducation est fortement corrélé au bonheur</w:t>
      </w:r>
      <w:r>
        <w:t xml:space="preserve"> </w:t>
      </w:r>
      <w:r>
        <w:t xml:space="preserve">(r = 0,748, R² = 0,560). Il se classe comme le 3e prédicteur le plus fort, derrière le soutien social et le PIB par habitant.</w:t>
      </w:r>
    </w:p>
    <w:p>
      <w:pPr>
        <w:pStyle w:val="Compact"/>
        <w:numPr>
          <w:ilvl w:val="0"/>
          <w:numId w:val="1015"/>
        </w:numPr>
      </w:pPr>
      <w:r>
        <w:t xml:space="preserve">Cependant, la multicolinéarité entre éducation, richesse économique et espérance de vie rend difficile l’isolation de l’effet propre de l’éducation. Une analyse de régression partielle ou une ACP serait nécessaire pour répondre précisément à la question scientifique.</w:t>
      </w:r>
    </w:p>
    <w:p>
      <w:pPr>
        <w:pStyle w:val="Compact"/>
        <w:numPr>
          <w:ilvl w:val="0"/>
          <w:numId w:val="1015"/>
        </w:numPr>
      </w:pPr>
      <w:r>
        <w:rPr>
          <w:b/>
          <w:bCs/>
        </w:rPr>
        <w:t xml:space="preserve">Prochaine étape (hors périmètre de ce projet) :</w:t>
      </w:r>
      <w:r>
        <w:t xml:space="preserve"> </w:t>
      </w:r>
      <w:r>
        <w:t xml:space="preserve">implémenter les modèles ML identifiés, évaluer leurs performances, et tenter d’isoler l’effet de l’éducation en contrôlant pour le PIB par habitant.</w:t>
      </w:r>
    </w:p>
    <w:p>
      <w:r>
        <w:pict>
          <v:rect style="width:0;height:1.5pt" o:hralign="center" o:hrstd="t" o:hr="t"/>
        </w:pict>
      </w:r>
    </w:p>
    <w:bookmarkEnd w:id="51"/>
    <w:bookmarkStart w:id="52" w:name="références"/>
    <w:p>
      <w:pPr>
        <w:pStyle w:val="Heading2"/>
      </w:pPr>
      <w:r>
        <w:t xml:space="preserve">Références</w:t>
      </w:r>
    </w:p>
    <w:p>
      <w:pPr>
        <w:pStyle w:val="Compact"/>
        <w:numPr>
          <w:ilvl w:val="0"/>
          <w:numId w:val="1016"/>
        </w:numPr>
      </w:pPr>
      <w:r>
        <w:t xml:space="preserve">World Happiness Report – https://worldhappiness.report</w:t>
      </w:r>
    </w:p>
    <w:p>
      <w:pPr>
        <w:pStyle w:val="Compact"/>
        <w:numPr>
          <w:ilvl w:val="0"/>
          <w:numId w:val="1016"/>
        </w:numPr>
      </w:pPr>
      <w:r>
        <w:t xml:space="preserve">Wikipedia, Education Index – https://en.wikipedia.org/wiki/Education_Index</w:t>
      </w:r>
    </w:p>
    <w:p>
      <w:pPr>
        <w:pStyle w:val="Compact"/>
        <w:numPr>
          <w:ilvl w:val="0"/>
          <w:numId w:val="1016"/>
        </w:numPr>
      </w:pPr>
      <w:r>
        <w:t xml:space="preserve">World Bank Open Data – https://data.worldbank.org</w:t>
      </w:r>
    </w:p>
    <w:p>
      <w:pPr>
        <w:pStyle w:val="Compact"/>
        <w:numPr>
          <w:ilvl w:val="0"/>
          <w:numId w:val="1016"/>
        </w:numPr>
      </w:pPr>
      <w:r>
        <w:t xml:space="preserve">PNUD, Indice de Développement Humain – https://hdr.undp.org</w:t>
      </w:r>
    </w:p>
    <w:p>
      <w:r>
        <w:pict>
          <v:rect style="width:0;height:1.5pt" o:hralign="center" o:hrstd="t" o:hr="t"/>
        </w:pict>
      </w:r>
    </w:p>
    <w:p>
      <w:pPr>
        <w:pStyle w:val="FirstParagraph"/>
      </w:pPr>
      <w:r>
        <w:rPr>
          <w:i/>
          <w:iCs/>
        </w:rPr>
        <w:t xml:space="preserve">Rapport rédigé en avril 2026 — IMT Mines Alès, programme 2IA</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2026-04-14T18:03:35Z</dcterms:created>
  <dcterms:modified xsi:type="dcterms:W3CDTF">2026-04-14T18:03:35Z</dcterms:modified>
</cp:coreProperties>
</file>

<file path=docProps/custom.xml><?xml version="1.0" encoding="utf-8"?>
<Properties xmlns="http://schemas.openxmlformats.org/officeDocument/2006/custom-properties" xmlns:vt="http://schemas.openxmlformats.org/officeDocument/2006/docPropsVTypes"/>
</file>