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Open Sans" w:cs="Open Sans" w:eastAsia="Open Sans" w:hAnsi="Open Sans"/>
          <w:color w:val="000000"/>
          <w:sz w:val="36"/>
          <w:szCs w:val="36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36"/>
          <w:szCs w:val="36"/>
        </w:rPr>
        <w:drawing>
          <wp:inline distB="114300" distT="114300" distL="114300" distR="114300">
            <wp:extent cx="3552825" cy="1085850"/>
            <wp:effectExtent b="0" l="0" r="0" t="0"/>
            <wp:docPr id="2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r w:rsidDel="00000000" w:rsidR="00000000" w:rsidRPr="00000000">
        <w:rPr>
          <w:b w:val="1"/>
          <w:color w:val="6d64e8"/>
          <w:sz w:val="40"/>
          <w:szCs w:val="40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-19049</wp:posOffset>
            </wp:positionH>
            <wp:positionV relativeFrom="page">
              <wp:posOffset>-3224</wp:posOffset>
            </wp:positionV>
            <wp:extent cx="7805738" cy="1191039"/>
            <wp:effectExtent b="0" l="0" r="0" t="0"/>
            <wp:wrapSquare wrapText="bothSides" distB="0" distT="0" distL="0" distR="0"/>
            <wp:docPr id="2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1257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05738" cy="11910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color w:val="434343"/>
          <w:sz w:val="28"/>
          <w:szCs w:val="28"/>
        </w:rPr>
      </w:pPr>
      <w:bookmarkStart w:colFirst="0" w:colLast="0" w:name="_heading=h.30j0zll" w:id="0"/>
      <w:bookmarkEnd w:id="0"/>
      <w:r w:rsidDel="00000000" w:rsidR="00000000" w:rsidRPr="00000000">
        <w:rPr>
          <w:rFonts w:ascii="Open Sans" w:cs="Open Sans" w:eastAsia="Open Sans" w:hAnsi="Open Sans"/>
          <w:b w:val="1"/>
          <w:color w:val="434343"/>
          <w:rtl w:val="0"/>
        </w:rPr>
        <w:t xml:space="preserve">Programación Orientada a Objetos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Rajdhani" w:cs="Rajdhani" w:eastAsia="Rajdhani" w:hAnsi="Rajdhani"/>
          <w:b w:val="1"/>
          <w:color w:val="f73939"/>
          <w:sz w:val="60"/>
          <w:szCs w:val="60"/>
        </w:rPr>
      </w:pPr>
      <w:bookmarkStart w:colFirst="0" w:colLast="0" w:name="_heading=h.4st7rsdiqn4j" w:id="1"/>
      <w:bookmarkEnd w:id="1"/>
      <w:r w:rsidDel="00000000" w:rsidR="00000000" w:rsidRPr="00000000">
        <w:rPr>
          <w:rFonts w:ascii="Rajdhani" w:cs="Rajdhani" w:eastAsia="Rajdhani" w:hAnsi="Rajdhani"/>
          <w:b w:val="1"/>
          <w:color w:val="f73939"/>
          <w:sz w:val="60"/>
          <w:szCs w:val="60"/>
          <w:rtl w:val="0"/>
        </w:rPr>
        <w:t xml:space="preserve">Relaciones, herencia,</w:t>
      </w:r>
    </w:p>
    <w:p w:rsidR="00000000" w:rsidDel="00000000" w:rsidP="00000000" w:rsidRDefault="00000000" w:rsidRPr="00000000" w14:paraId="00000005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Rajdhani" w:cs="Rajdhani" w:eastAsia="Rajdhani" w:hAnsi="Rajdhani"/>
          <w:b w:val="1"/>
          <w:color w:val="f73939"/>
          <w:sz w:val="60"/>
          <w:szCs w:val="60"/>
        </w:rPr>
      </w:pPr>
      <w:bookmarkStart w:colFirst="0" w:colLast="0" w:name="_heading=h.7krbhrnockgr" w:id="2"/>
      <w:bookmarkEnd w:id="2"/>
      <w:r w:rsidDel="00000000" w:rsidR="00000000" w:rsidRPr="00000000">
        <w:rPr>
          <w:rFonts w:ascii="Rajdhani" w:cs="Rajdhani" w:eastAsia="Rajdhani" w:hAnsi="Rajdhani"/>
          <w:b w:val="1"/>
          <w:color w:val="f73939"/>
          <w:sz w:val="60"/>
          <w:szCs w:val="60"/>
          <w:rtl w:val="0"/>
        </w:rPr>
        <w:t xml:space="preserve">clase y métodos abstractos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434343"/>
          <w:sz w:val="50"/>
          <w:szCs w:val="50"/>
        </w:rPr>
      </w:pPr>
      <w:bookmarkStart w:colFirst="0" w:colLast="0" w:name="_heading=h.1fob9te" w:id="3"/>
      <w:bookmarkEnd w:id="3"/>
      <w:r w:rsidDel="00000000" w:rsidR="00000000" w:rsidRPr="00000000">
        <w:rPr>
          <w:rFonts w:ascii="Rajdhani" w:cs="Rajdhani" w:eastAsia="Rajdhani" w:hAnsi="Rajdhani"/>
          <w:b w:val="1"/>
          <w:color w:val="434343"/>
          <w:sz w:val="50"/>
          <w:szCs w:val="50"/>
          <w:rtl w:val="0"/>
        </w:rPr>
        <w:t xml:space="preserve">Objetivo</w:t>
      </w:r>
    </w:p>
    <w:p w:rsidR="00000000" w:rsidDel="00000000" w:rsidP="00000000" w:rsidRDefault="00000000" w:rsidRPr="00000000" w14:paraId="00000009">
      <w:pPr>
        <w:spacing w:line="335.99999999999994" w:lineRule="auto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Identificar, modelar e implementar en Java las clases involucradas en el enunciado especificando sus atributos, responsabilidades y relaciones entre las mismas. </w:t>
      </w:r>
    </w:p>
    <w:p w:rsidR="00000000" w:rsidDel="00000000" w:rsidP="00000000" w:rsidRDefault="00000000" w:rsidRPr="00000000" w14:paraId="0000000A">
      <w:pPr>
        <w:rPr>
          <w:rFonts w:ascii="Rajdhani" w:cs="Rajdhani" w:eastAsia="Rajdhani" w:hAnsi="Rajdhani"/>
          <w:color w:val="434343"/>
          <w:sz w:val="50"/>
          <w:szCs w:val="50"/>
        </w:rPr>
      </w:pPr>
      <w:r w:rsidDel="00000000" w:rsidR="00000000" w:rsidRPr="00000000">
        <w:rPr>
          <w:rFonts w:ascii="Rajdhani" w:cs="Rajdhani" w:eastAsia="Rajdhani" w:hAnsi="Rajdhani"/>
          <w:b w:val="1"/>
          <w:color w:val="434343"/>
          <w:sz w:val="50"/>
          <w:szCs w:val="50"/>
          <w:rtl w:val="0"/>
        </w:rPr>
        <w:t xml:space="preserve">Consigna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0" w:line="240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El Banco Nacional nos solicita modelar un nuevo sistema. Este sistema llevará el registro de las cuentas y de los clientes del banco.</w:t>
      </w:r>
    </w:p>
    <w:p w:rsidR="00000000" w:rsidDel="00000000" w:rsidP="00000000" w:rsidRDefault="00000000" w:rsidRPr="00000000" w14:paraId="0000000C">
      <w:pPr>
        <w:spacing w:before="0" w:line="240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0" w:line="240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CLIENTES: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Los clientes se identificarán con un número de cliente, un apellido, un DNI y un CUIT.</w:t>
      </w:r>
    </w:p>
    <w:p w:rsidR="00000000" w:rsidDel="00000000" w:rsidP="00000000" w:rsidRDefault="00000000" w:rsidRPr="00000000" w14:paraId="0000000E">
      <w:pPr>
        <w:spacing w:before="0" w:line="240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0" w:line="240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CUENTAS: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Permiten depositar, extraer efectivo e informar saldo. Una cuenta tiene un cliente asociado.</w:t>
      </w:r>
    </w:p>
    <w:p w:rsidR="00000000" w:rsidDel="00000000" w:rsidP="00000000" w:rsidRDefault="00000000" w:rsidRPr="00000000" w14:paraId="00000010">
      <w:pPr>
        <w:spacing w:before="0" w:line="240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0" w:line="240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0" w:line="240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-19049</wp:posOffset>
            </wp:positionH>
            <wp:positionV relativeFrom="page">
              <wp:posOffset>0</wp:posOffset>
            </wp:positionV>
            <wp:extent cx="7810500" cy="1316487"/>
            <wp:effectExtent b="0" l="0" r="0" t="0"/>
            <wp:wrapTopAndBottom distB="114300" distT="114300"/>
            <wp:docPr id="2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4317" l="0" r="1780" t="776"/>
                    <a:stretch>
                      <a:fillRect/>
                    </a:stretch>
                  </pic:blipFill>
                  <pic:spPr>
                    <a:xfrm>
                      <a:off x="0" y="0"/>
                      <a:ext cx="7810500" cy="13164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0" w:line="240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0" w:line="240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0" w:line="240" w:lineRule="auto"/>
        <w:ind w:left="0" w:firstLine="0"/>
        <w:jc w:val="both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EXTENSIÓN:</w:t>
      </w:r>
    </w:p>
    <w:p w:rsidR="00000000" w:rsidDel="00000000" w:rsidP="00000000" w:rsidRDefault="00000000" w:rsidRPr="00000000" w14:paraId="00000016">
      <w:pPr>
        <w:spacing w:before="0" w:line="240" w:lineRule="auto"/>
        <w:ind w:left="425.19685039370086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0" w:line="240" w:lineRule="auto"/>
        <w:ind w:left="425.19685039370086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Caja de ahorro: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Poseen un saldo y además una tasa de interés. En este tipo de cuenta se pueden realizar tres operaciones:</w:t>
      </w:r>
    </w:p>
    <w:p w:rsidR="00000000" w:rsidDel="00000000" w:rsidP="00000000" w:rsidRDefault="00000000" w:rsidRPr="00000000" w14:paraId="00000018">
      <w:pPr>
        <w:spacing w:before="0" w:line="240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0" w:line="335.99999999999994" w:lineRule="auto"/>
        <w:ind w:left="720" w:firstLine="0"/>
        <w:jc w:val="both"/>
        <w:rPr>
          <w:rFonts w:ascii="Open Sans" w:cs="Open Sans" w:eastAsia="Open Sans" w:hAnsi="Open Sans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○ Depositar efectivo: el cliente puede depositar la cantidad de dinero que desee.</w:t>
          </w:r>
        </w:sdtContent>
      </w:sdt>
    </w:p>
    <w:p w:rsidR="00000000" w:rsidDel="00000000" w:rsidP="00000000" w:rsidRDefault="00000000" w:rsidRPr="00000000" w14:paraId="0000001A">
      <w:pPr>
        <w:spacing w:before="0" w:line="335.99999999999994" w:lineRule="auto"/>
        <w:ind w:left="720" w:firstLine="0"/>
        <w:jc w:val="both"/>
        <w:rPr>
          <w:rFonts w:ascii="Open Sans" w:cs="Open Sans" w:eastAsia="Open Sans" w:hAnsi="Open Sans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○ Extraer efectivo: el cliente puede extraer dinero sin excederse de su saldo.</w:t>
          </w:r>
        </w:sdtContent>
      </w:sdt>
    </w:p>
    <w:p w:rsidR="00000000" w:rsidDel="00000000" w:rsidP="00000000" w:rsidRDefault="00000000" w:rsidRPr="00000000" w14:paraId="0000001B">
      <w:pPr>
        <w:spacing w:before="0" w:line="335.99999999999994" w:lineRule="auto"/>
        <w:ind w:left="720" w:firstLine="0"/>
        <w:jc w:val="both"/>
        <w:rPr>
          <w:rFonts w:ascii="Open Sans" w:cs="Open Sans" w:eastAsia="Open Sans" w:hAnsi="Open Sans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○ Cobrar interés: el cliente puede cobrar los intereses que su caja de ahorro le otorga mensualmente.</w:t>
          </w:r>
        </w:sdtContent>
      </w:sdt>
    </w:p>
    <w:p w:rsidR="00000000" w:rsidDel="00000000" w:rsidP="00000000" w:rsidRDefault="00000000" w:rsidRPr="00000000" w14:paraId="0000001C">
      <w:pPr>
        <w:spacing w:before="0" w:line="240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0" w:line="240" w:lineRule="auto"/>
        <w:ind w:left="425.19685039370086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Cuenta corriente: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Poseen un saldo y, además, un monto autorizado para girar en descubierto. En este tipo de cuenta se pueden realizar dos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operaciones: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before="0" w:line="335.99999999999994" w:lineRule="auto"/>
        <w:ind w:left="720" w:firstLine="0"/>
        <w:jc w:val="both"/>
        <w:rPr>
          <w:rFonts w:ascii="Open Sans" w:cs="Open Sans" w:eastAsia="Open Sans" w:hAnsi="Open Sans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○ Depositar efectivo: el cliente puede depositar la cantidad de dinero que desee.</w:t>
          </w:r>
        </w:sdtContent>
      </w:sdt>
    </w:p>
    <w:p w:rsidR="00000000" w:rsidDel="00000000" w:rsidP="00000000" w:rsidRDefault="00000000" w:rsidRPr="00000000" w14:paraId="0000001F">
      <w:pPr>
        <w:spacing w:before="0" w:line="335.99999999999994" w:lineRule="auto"/>
        <w:ind w:left="720" w:firstLine="0"/>
        <w:jc w:val="both"/>
        <w:rPr>
          <w:rFonts w:ascii="Open Sans" w:cs="Open Sans" w:eastAsia="Open Sans" w:hAnsi="Open Sans"/>
        </w:rPr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○ Extraer efectivo: el cliente puede extraer dinero y utilizar su giro en descubierto en caso de que no tenga saldo suficiente.</w:t>
          </w:r>
        </w:sdtContent>
      </w:sdt>
    </w:p>
    <w:p w:rsidR="00000000" w:rsidDel="00000000" w:rsidP="00000000" w:rsidRDefault="00000000" w:rsidRPr="00000000" w14:paraId="00000020">
      <w:pPr>
        <w:spacing w:before="0" w:line="240" w:lineRule="auto"/>
        <w:ind w:left="72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before="0" w:line="335.99999999999994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95.0" w:type="dxa"/>
        <w:jc w:val="left"/>
        <w:tblInd w:w="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95"/>
        <w:tblGridChange w:id="0">
          <w:tblGrid>
            <w:gridCol w:w="9495"/>
          </w:tblGrid>
        </w:tblGridChange>
      </w:tblGrid>
      <w:tr>
        <w:trPr>
          <w:trHeight w:val="225" w:hRule="atLeast"/>
        </w:trPr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before="0" w:line="240" w:lineRule="auto"/>
              <w:ind w:left="0" w:firstLine="0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Aclaración: </w:t>
            </w: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Para este ejercicio tené en cuenta que Cuenta es posible modelarla como una clase abstracta y si bien una cuenta tiene varias responsabilidades, como muestra el enunciado, puede que alguna se tenga que comportar diferente en las subclases y sea posible método abstracto.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spacing w:before="0" w:line="335.99999999999994" w:lineRule="auto"/>
        <w:ind w:left="0" w:firstLine="0"/>
        <w:jc w:val="both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before="0" w:line="335.99999999999994" w:lineRule="auto"/>
        <w:ind w:left="0" w:firstLine="0"/>
        <w:jc w:val="both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before="0" w:line="335.99999999999994" w:lineRule="auto"/>
        <w:ind w:left="0" w:firstLine="0"/>
        <w:jc w:val="both"/>
        <w:rPr>
          <w:rFonts w:ascii="Open Sans Light" w:cs="Open Sans Light" w:eastAsia="Open Sans Light" w:hAnsi="Open Sans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before="0" w:lineRule="auto"/>
        <w:ind w:left="0" w:firstLine="0"/>
        <w:rPr>
          <w:rFonts w:ascii="Rajdhani" w:cs="Rajdhani" w:eastAsia="Rajdhani" w:hAnsi="Rajdhani"/>
          <w:b w:val="1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b w:val="1"/>
          <w:sz w:val="28"/>
          <w:szCs w:val="28"/>
          <w:rtl w:val="0"/>
        </w:rPr>
        <w:t xml:space="preserve">¡Hasta la próxima!</w:t>
      </w:r>
    </w:p>
    <w:p w:rsidR="00000000" w:rsidDel="00000000" w:rsidP="00000000" w:rsidRDefault="00000000" w:rsidRPr="00000000" w14:paraId="00000027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5840" w:w="12240" w:orient="portrait"/>
      <w:pgMar w:bottom="1080" w:top="1080" w:left="1440" w:right="1440" w:header="0" w:footer="17.007874015748033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spacing w:line="240" w:lineRule="auto"/>
      <w:ind w:left="-1440" w:firstLine="0"/>
      <w:rPr>
        <w:rFonts w:ascii="Rajdhani" w:cs="Rajdhani" w:eastAsia="Rajdhani" w:hAnsi="Rajdhani"/>
        <w:b w:val="1"/>
        <w:sz w:val="30"/>
        <w:szCs w:val="30"/>
      </w:rPr>
    </w:pPr>
    <w:r w:rsidDel="00000000" w:rsidR="00000000" w:rsidRPr="00000000">
      <w:rPr>
        <w:sz w:val="20"/>
        <w:szCs w:val="20"/>
        <w:rtl w:val="0"/>
      </w:rPr>
      <w:t xml:space="preserve">                                                                                                                                                                                                         </w:t>
    </w:r>
    <w:r w:rsidDel="00000000" w:rsidR="00000000" w:rsidRPr="00000000">
      <w:rPr>
        <w:sz w:val="30"/>
        <w:szCs w:val="30"/>
        <w:rtl w:val="0"/>
      </w:rPr>
      <w:t xml:space="preserve">         </w:t>
    </w:r>
    <w:r w:rsidDel="00000000" w:rsidR="00000000" w:rsidRPr="00000000">
      <w:rPr>
        <w:rFonts w:ascii="Rajdhani" w:cs="Rajdhani" w:eastAsia="Rajdhani" w:hAnsi="Rajdhani"/>
        <w:b w:val="1"/>
        <w:sz w:val="30"/>
        <w:szCs w:val="30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0"/>
        <w:szCs w:val="3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                                                                                                          </w:t>
    </w:r>
    <w:r w:rsidDel="00000000" w:rsidR="00000000" w:rsidRPr="00000000">
      <w:rPr>
        <w:rFonts w:ascii="Rajdhani" w:cs="Rajdhani" w:eastAsia="Rajdhani" w:hAnsi="Rajdhani"/>
        <w:b w:val="1"/>
        <w:sz w:val="30"/>
        <w:szCs w:val="30"/>
        <w:rtl w:val="0"/>
      </w:rPr>
      <w:t xml:space="preserve">            </w:t>
    </w:r>
    <w:r w:rsidDel="00000000" w:rsidR="00000000" w:rsidRPr="00000000">
      <w:rPr>
        <w:rFonts w:ascii="Rajdhani" w:cs="Rajdhani" w:eastAsia="Rajdhani" w:hAnsi="Rajdhani"/>
        <w:b w:val="1"/>
        <w:sz w:val="30"/>
        <w:szCs w:val="3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2E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spacing w:before="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Light-italic.ttf"/><Relationship Id="rId10" Type="http://schemas.openxmlformats.org/officeDocument/2006/relationships/font" Target="fonts/OpenSansLight-bold.ttf"/><Relationship Id="rId13" Type="http://schemas.openxmlformats.org/officeDocument/2006/relationships/font" Target="fonts/OpenSans-regular.ttf"/><Relationship Id="rId12" Type="http://schemas.openxmlformats.org/officeDocument/2006/relationships/font" Target="fonts/OpenSansLigh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Light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4rnzO/sqvX4LU9bbf3TBGFlgFA==">AMUW2mUFnIYBFZswa+fJGCwMHQpo1jILFhM5f/zOVAKoKgeM09J5kOlcaONeTiLKPCRp3W4ESMFfD+qfC8QDOT53uZ1yk5Dot8li67q1oihUSo75xuaG7k0s+wi9GsuAPjEZrZN9iah1p8OBf/mCNApzsFoM2huvv8Uz8rYakqUMPWmRHDEQVFl7HSzMhNhzNwUYNNbhg3y5Uh9qFryP4Op/tfp2oVnkRQIHD93+LPnWlnuX5XTsyk/b5HCd8SIyaC1FAw7I7hrtKbKcpr95bA06nTl8TcRqu33nEa38nHctzdMQOyTMlYzW9A9L73Lukhjg0x5XRVWVnm7CXn8s/0f6IqKcmXRILfAuc2yMblbAcj/QCr9vQ/gSm1B+0dmmHwXpBwowcit5K4+nqK3gQIBRa7p5B6I53TPcs9C3uFD+Vp3pSuXzohBitKoOZvKEgjPTC4vKsj5cgMHpCzVnWslIa+6+H5E2x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