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BlockDrive</w:t>
      </w:r>
    </w:p>
    <w:p>
      <w:pPr>
        <w:pStyle w:val="Subtitle"/>
      </w:pPr>
      <w:r>
        <w:t xml:space="preserve">Filebase Infrastructure Strategy</w:t>
      </w:r>
    </w:p>
    <w:p>
      <w:pPr>
        <w:spacing w:before="400"/>
        <w:jc w:val="center"/>
      </w:pPr>
      <w:r>
        <w:rPr>
          <w:color w:val="2C3E50"/>
          <w:sz w:val="24"/>
          <w:szCs w:val="24"/>
        </w:rPr>
        <w:t xml:space="preserve">Strategic Analysis &amp; Implementation Roadmap</w:t>
      </w:r>
    </w:p>
    <w:p>
      <w:pPr>
        <w:spacing w:before="800"/>
        <w:jc w:val="center"/>
      </w:pPr>
      <w:r>
        <w:rPr>
          <w:color w:val="BDC3C7"/>
          <w:sz w:val="22"/>
          <w:szCs w:val="22"/>
        </w:rPr>
        <w:t xml:space="preserve">November 2025</w:t>
      </w:r>
    </w:p>
    <w:p>
      <w:pPr>
        <w:spacing w:before="200"/>
        <w:jc w:val="center"/>
      </w:pPr>
      <w:r>
        <w:rPr>
          <w:color w:val="BDC3C7"/>
          <w:sz w:val="22"/>
          <w:szCs w:val="22"/>
        </w:rPr>
        <w:t xml:space="preserve">Series Seed Investment Materials</w:t>
      </w:r>
    </w:p>
    <w:p>
      <w:pPr>
        <w:spacing w:before="1200"/>
      </w:pPr>
    </w:p>
    <w:p>
      <w:pPr>
        <w:pStyle w:val="Callout"/>
      </w:pPr>
      <w:r>
        <w:t xml:space="preserve">73-75% Storage Cost Reduction vs. Traditional IPFS Providers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Style w:val="BodyText"/>
      </w:pPr>
      <w:r>
        <w:t xml:space="preserve">This document presents BlockDrive's infrastructure strategy leveraging Filebase as our primary IPFS storage provider. Our analysis reveals a </w:t>
      </w:r>
      <w:r>
        <w:rPr>
          <w:b/>
          <w:bCs/>
        </w:rPr>
        <w:t xml:space="preserve">73-75% cost reduction</w:t>
      </w:r>
      <w:r>
        <w:t xml:space="preserve"> compared to traditional IPFS pinning services, enabling BlockDrive to achieve competitive gross margins while maintaining our core value proposition of decentralized, zero-knowledge storage.</w:t>
      </w:r>
    </w:p>
    <w:p>
      <w:pPr>
        <w:pStyle w:val="Heading2"/>
      </w:pPr>
      <w:r>
        <w:t xml:space="preserve">Key Strategic Findings</w:t>
      </w:r>
    </w:p>
    <w:p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Dramatic Cost Advantage: </w:t>
      </w:r>
      <w:r>
        <w:t xml:space="preserve">Filebase Pro pricing of $0.04/GB (overage) vs. Pinata's $0.15/GB represents a 73% reduction in storage costs</w:t>
      </w:r>
    </w:p>
    <w:p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Unified API Architecture: </w:t>
      </w:r>
      <w:r>
        <w:t xml:space="preserve">S3-compatible API enables seamless management of both decentralized (IPFS) and centralized (S3) storage through a single interface</w:t>
      </w:r>
    </w:p>
    <w:p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Enterprise-Grade Infrastructure: </w:t>
      </w:r>
      <w:r>
        <w:t xml:space="preserve">Access to Filebase's geo-redundant IPFS nodes across 3+ data centers from day one</w:t>
      </w:r>
    </w:p>
    <w:p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Scalable Economics: </w:t>
      </w:r>
      <w:r>
        <w:t xml:space="preserve">Clear path from Pro ($100/mo) to Enterprise tiers with volume-based pricing as storage scales beyond 50TB</w:t>
      </w:r>
    </w:p>
    <w:p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CDN Consolidation: </w:t>
      </w:r>
      <w:r>
        <w:t xml:space="preserve">5 dedicated IPFS gateways included in Pro plan eliminate need for separate CDN infrastructure</w:t>
      </w:r>
    </w:p>
    <w:p>
      <w:pPr>
        <w:pStyle w:val="Heading2"/>
      </w:pPr>
      <w:r>
        <w:t xml:space="preserve">Gross Margin Impact</w:t>
      </w:r>
    </w:p>
    <w:p>
      <w:pPr>
        <w:pStyle w:val="BodyText"/>
      </w:pPr>
      <w:r>
        <w:t xml:space="preserve">By leveraging Filebase's infrastructure, BlockDrive projects gross margins of </w:t>
      </w:r>
      <w:r>
        <w:rPr>
          <w:b/>
          <w:bCs/>
        </w:rPr>
        <w:t xml:space="preserve">71-90%</w:t>
      </w:r>
      <w:r>
        <w:t xml:space="preserve"> over Years 1-3, competitive with industry leaders Dropbox (82-84%) and Box (75-78%). This represents a significant improvement over our initial model assumptions based on traditional IPFS provider pricing.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sz w:val="20"/>
                <w:szCs w:val="20"/>
              </w:rPr>
              <w:t xml:space="preserve">Variable COGS/Seat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$2.23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$1.59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$1.57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r>
              <w:rPr>
                <w:b/>
                <w:bCs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b/>
                <w:bCs/>
                <w:color w:val="28B463"/>
                <w:sz w:val="20"/>
                <w:szCs w:val="20"/>
              </w:rPr>
              <w:t xml:space="preserve">71%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b/>
                <w:bCs/>
                <w:color w:val="28B463"/>
                <w:sz w:val="20"/>
                <w:szCs w:val="20"/>
              </w:rPr>
              <w:t xml:space="preserve">88%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b/>
                <w:bCs/>
                <w:color w:val="28B463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sz w:val="20"/>
                <w:szCs w:val="20"/>
              </w:rPr>
              <w:t xml:space="preserve">vs. Dropbox (82-84%)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Below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color w:val="28B463"/>
                <w:sz w:val="20"/>
                <w:szCs w:val="20"/>
              </w:rPr>
              <w:t xml:space="preserve">✓ Above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color w:val="28B463"/>
                <w:sz w:val="20"/>
                <w:szCs w:val="20"/>
              </w:rPr>
              <w:t xml:space="preserve">✓ Above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Filebase Platform Overview</w:t>
      </w:r>
    </w:p>
    <w:p>
      <w:pPr>
        <w:pStyle w:val="BodyText"/>
      </w:pPr>
      <w:r>
        <w:t xml:space="preserve">Filebase is an enterprise-grade IPFS infrastructure provider that has fundamentally changed the economics of decentralized storage. Founded with $5.01M in seed funding, Filebase operates geo-redundant IPFS nodes across multiple data centers, providing the reliability and performance required for production applications.</w:t>
      </w:r>
    </w:p>
    <w:p>
      <w:pPr>
        <w:pStyle w:val="Heading2"/>
      </w:pPr>
      <w:r>
        <w:t xml:space="preserve">Why Filebase Over Traditional IPFS Providers</w:t>
      </w:r>
    </w:p>
    <w:p>
      <w:pPr>
        <w:pStyle w:val="BodyText"/>
      </w:pPr>
      <w:r>
        <w:t xml:space="preserve">Traditional IPFS pinning services like Pinata charge $0.15/GB for storage, making decentralized storage prohibitively expensive at scale. Filebase's architectural innovations and volume-based pricing model offer dramatic cost advantages: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Storage Rate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per 50GB/Seat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sz w:val="20"/>
                <w:szCs w:val="20"/>
              </w:rPr>
              <w:t xml:space="preserve">Pinata (Traditional)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$0.150/GB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$7.50/seat/mo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r>
              <w:rPr>
                <w:sz w:val="20"/>
                <w:szCs w:val="20"/>
              </w:rPr>
              <w:t xml:space="preserve">Filebase Pro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$0.040/GB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b/>
                <w:bCs/>
                <w:color w:val="28B463"/>
                <w:sz w:val="20"/>
                <w:szCs w:val="20"/>
              </w:rPr>
              <w:t xml:space="preserve">$2.00/seat/mo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sz w:val="20"/>
                <w:szCs w:val="20"/>
              </w:rPr>
              <w:t xml:space="preserve">Filebase Enterprise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~$0.025/GB*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b/>
                <w:bCs/>
                <w:color w:val="28B463"/>
                <w:sz w:val="20"/>
                <w:szCs w:val="20"/>
              </w:rPr>
              <w:t xml:space="preserve">$1.25/seat/mo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r>
              <w:rPr>
                <w:i/>
                <w:iCs/>
                <w:sz w:val="20"/>
                <w:szCs w:val="20"/>
              </w:rPr>
              <w:t xml:space="preserve">AWS S3 (Centralized)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$0.023/GB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$1.15/seat/mo</w:t>
            </w:r>
          </w:p>
        </w:tc>
      </w:tr>
    </w:tbl>
    <w:p>
      <w:pPr>
        <w:pStyle w:val="BodyText"/>
        <w:spacing w:before="100"/>
      </w:pPr>
      <w:r>
        <w:rPr>
          <w:i/>
          <w:iCs/>
          <w:color w:val="BDC3C7"/>
          <w:sz w:val="18"/>
          <w:szCs w:val="18"/>
        </w:rPr>
        <w:t xml:space="preserve">*Enterprise pricing estimated based on 25-40% volume discount from Pro tier</w:t>
      </w:r>
    </w:p>
    <w:p>
      <w:pPr>
        <w:pStyle w:val="Heading2"/>
      </w:pPr>
      <w:r>
        <w:t xml:space="preserve">Filebase Pricing Tiers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Bandwidth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Overage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sz w:val="18"/>
                <w:szCs w:val="18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GB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GB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r>
              <w:rPr>
                <w:sz w:val="18"/>
                <w:szCs w:val="18"/>
              </w:rPr>
              <w:t xml:space="preserve">Starter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$20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800 GB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800 GB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$0.08/GB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Pro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$100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 TB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 TB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b/>
                <w:bCs/>
                <w:color w:val="28B463"/>
                <w:sz w:val="18"/>
                <w:szCs w:val="18"/>
              </w:rPr>
              <w:t xml:space="preserve">$0.04/GB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r>
              <w:rPr>
                <w:sz w:val="18"/>
                <w:szCs w:val="18"/>
              </w:rPr>
              <w:t xml:space="preserve">Enterprise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Custom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50+ TB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Custom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Volume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Strategic Benefits for BlockDrive</w:t>
      </w:r>
    </w:p>
    <w:p>
      <w:pPr>
        <w:pStyle w:val="Heading2"/>
      </w:pPr>
      <w:r>
        <w:t xml:space="preserve">1. Unified Storage Architecture</w:t>
      </w:r>
    </w:p>
    <w:p>
      <w:pPr>
        <w:pStyle w:val="BodyText"/>
      </w:pPr>
      <w:r>
        <w:t xml:space="preserve">Filebase's S3-compatible API is a game-changer for BlockDrive's hybrid storage architecture. Our </w:t>
      </w:r>
      <w:r>
        <w:rPr>
          <w:b/>
          <w:bCs/>
        </w:rPr>
        <w:t xml:space="preserve">Programmed Incompleteness</w:t>
      </w:r>
      <w:r>
        <w:t xml:space="preserve"> architecture stores encrypted file chunks on IPFS (85% of volume) while maintaining ZK proofs and metadata on S3 (15% of volume). Filebase allows us to manage both storage layers through a single, unified API.</w:t>
      </w:r>
    </w:p>
    <w:p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Single SDK Integration: </w:t>
      </w:r>
      <w:r>
        <w:t xml:space="preserve">AWS SDK compatibility means our engineering team uses familiar tools and patterns</w:t>
      </w:r>
    </w:p>
    <w:p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Bucket-Based Segmentation: </w:t>
      </w:r>
      <w:r>
        <w:t xml:space="preserve">Unlimited buckets allow clean separation of customer data with per-bucket access controls</w:t>
      </w:r>
    </w:p>
    <w:p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Simplified Operations: </w:t>
      </w:r>
      <w:r>
        <w:t xml:space="preserve">One provider relationship reduces vendor management overhead and billing complexity</w:t>
      </w:r>
    </w:p>
    <w:p>
      <w:pPr>
        <w:pStyle w:val="Heading2"/>
      </w:pPr>
      <w:r>
        <w:t xml:space="preserve">2. Enterprise-Grade Infrastructure from Day One</w:t>
      </w:r>
    </w:p>
    <w:p>
      <w:pPr>
        <w:pStyle w:val="BodyText"/>
      </w:pPr>
      <w:r>
        <w:t xml:space="preserve">Filebase operates enterprise-grade IPFS infrastructure that would cost BlockDrive millions to replicate internally:</w:t>
      </w:r>
    </w:p>
    <w:p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Geo-Redundant Storage: </w:t>
      </w:r>
      <w:r>
        <w:t xml:space="preserve">Every file pinned to 3 IPFS nodes across US, London, and Frankfurt data centers</w:t>
      </w:r>
    </w:p>
    <w:p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250+ CDN Points of Presence: </w:t>
      </w:r>
      <w:r>
        <w:t xml:space="preserve">Global edge network for low-latency content delivery</w:t>
      </w:r>
    </w:p>
    <w:p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DHT Publication: </w:t>
      </w:r>
      <w:r>
        <w:t xml:space="preserve">All CIDs published to IPFS distributed hash table for network-wide discoverability</w:t>
      </w:r>
    </w:p>
    <w:p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High Availability: </w:t>
      </w:r>
      <w:r>
        <w:t xml:space="preserve">Mirrored storage pools at each node ensure resilience to local failures</w:t>
      </w:r>
    </w:p>
    <w:p>
      <w:pPr>
        <w:pStyle w:val="Heading2"/>
      </w:pPr>
      <w:r>
        <w:t xml:space="preserve">3. CDN Consolidation</w:t>
      </w:r>
    </w:p>
    <w:p>
      <w:pPr>
        <w:pStyle w:val="BodyText"/>
      </w:pPr>
      <w:r>
        <w:t xml:space="preserve">The Pro plan includes </w:t>
      </w:r>
      <w:r>
        <w:rPr>
          <w:b/>
          <w:bCs/>
        </w:rPr>
        <w:t xml:space="preserve">5 dedicated IPFS gateways</w:t>
      </w:r>
      <w:r>
        <w:t xml:space="preserve"> with custom domain support, eliminating the need for separate CDN infrastructure. This consolidation provides:</w:t>
      </w:r>
    </w:p>
    <w:p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Cost Savings: </w:t>
      </w:r>
      <w:r>
        <w:t xml:space="preserve">$500-1,000/month CDN costs absorbed into Filebase subscription</w:t>
      </w:r>
    </w:p>
    <w:p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HTTPS Delivery: </w:t>
      </w:r>
      <w:r>
        <w:t xml:space="preserve">Native HTTPS support for IPFS content without gateway configuration</w:t>
      </w:r>
    </w:p>
    <w:p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Custom Domains: </w:t>
      </w:r>
      <w:r>
        <w:t xml:space="preserve">Brand-consistent URLs (e.g., files.blockdrive.io) instead of generic IPFS gateway URLs</w:t>
      </w:r>
    </w:p>
    <w:p>
      <w:pPr>
        <w:pStyle w:val="Heading2"/>
      </w:pPr>
      <w:r>
        <w:t xml:space="preserve">4. Scalable Economics</w:t>
      </w:r>
    </w:p>
    <w:p>
      <w:pPr>
        <w:pStyle w:val="BodyText"/>
      </w:pPr>
      <w:r>
        <w:t xml:space="preserve">Filebase's tiered pricing creates a clear, predictable cost curve as BlockDrive scales: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Scale Point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Storage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Filebase Plan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sz w:val="20"/>
                <w:szCs w:val="20"/>
              </w:rPr>
              <w:t xml:space="preserve">Launch (1K seats)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 GB - 2 TB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r>
              <w:rPr>
                <w:sz w:val="20"/>
                <w:szCs w:val="20"/>
              </w:rPr>
              <w:t xml:space="preserve">Growth (5K seats)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10 - 25 TB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 + Overage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$500 - $1,000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sz w:val="20"/>
                <w:szCs w:val="20"/>
              </w:rPr>
              <w:t xml:space="preserve">Scale (15K seats)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50 - 75 TB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$1,500 - $2,500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r>
              <w:rPr>
                <w:sz w:val="20"/>
                <w:szCs w:val="20"/>
              </w:rPr>
              <w:t xml:space="preserve">Enterprise (30K+ seats)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150+ TB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Enterprise Custom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$4,000 - $6,000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Strategy</w:t>
      </w:r>
    </w:p>
    <w:p>
      <w:pPr>
        <w:pStyle w:val="Heading2"/>
      </w:pPr>
      <w:r>
        <w:t xml:space="preserve">Phase 1: Launch (Months 1-6)</w:t>
      </w:r>
    </w:p>
    <w:p>
      <w:pPr>
        <w:pStyle w:val="BodyText"/>
      </w:pPr>
      <w:r>
        <w:rPr>
          <w:b/>
          <w:bCs/>
        </w:rPr>
        <w:t xml:space="preserve">Objective: </w:t>
      </w:r>
      <w:r>
        <w:t xml:space="preserve">Establish production infrastructure on Filebase Pro plan with single-tenant bucket architecture.</w:t>
      </w:r>
    </w:p>
    <w:p>
      <w:pPr>
        <w:pStyle w:val="BodyText"/>
        <w:numPr>
          <w:ilvl w:val="0"/>
          <w:numId w:val="4"/>
        </w:numPr>
      </w:pPr>
      <w:r>
        <w:t xml:space="preserve">Deploy on Filebase Pro plan ($100/month) with 4TB included storage</w:t>
      </w:r>
    </w:p>
    <w:p>
      <w:pPr>
        <w:pStyle w:val="BodyText"/>
        <w:numPr>
          <w:ilvl w:val="0"/>
          <w:numId w:val="4"/>
        </w:numPr>
      </w:pPr>
      <w:r>
        <w:t xml:space="preserve">Implement bucket-per-customer segmentation leveraging unlimited bucket allowance</w:t>
      </w:r>
    </w:p>
    <w:p>
      <w:pPr>
        <w:pStyle w:val="BodyText"/>
        <w:numPr>
          <w:ilvl w:val="0"/>
          <w:numId w:val="4"/>
        </w:numPr>
      </w:pPr>
      <w:r>
        <w:t xml:space="preserve">Configure 5 dedicated IPFS gateways with BlockDrive custom domains</w:t>
      </w:r>
    </w:p>
    <w:p>
      <w:pPr>
        <w:pStyle w:val="BodyText"/>
        <w:numPr>
          <w:ilvl w:val="0"/>
          <w:numId w:val="4"/>
        </w:numPr>
      </w:pPr>
      <w:r>
        <w:t xml:space="preserve">Integrate Filebase SDK into BlockDrive backend using S3-compatible API</w:t>
      </w:r>
    </w:p>
    <w:p>
      <w:pPr>
        <w:pStyle w:val="BodyText"/>
        <w:numPr>
          <w:ilvl w:val="0"/>
          <w:numId w:val="4"/>
        </w:numPr>
      </w:pPr>
      <w:r>
        <w:t xml:space="preserve">Establish monitoring and alerting for storage utilization approaching 4TB threshold</w:t>
      </w:r>
    </w:p>
    <w:p>
      <w:pPr>
        <w:pStyle w:val="Heading2"/>
      </w:pPr>
      <w:r>
        <w:t xml:space="preserve">Phase 2: Growth (Months 7-18)</w:t>
      </w:r>
    </w:p>
    <w:p>
      <w:pPr>
        <w:pStyle w:val="BodyText"/>
      </w:pPr>
      <w:r>
        <w:rPr>
          <w:b/>
          <w:bCs/>
        </w:rPr>
        <w:t xml:space="preserve">Objective: </w:t>
      </w:r>
      <w:r>
        <w:t xml:space="preserve">Scale beyond included storage, optimize for overage pricing, prepare for enterprise tier transition.</w:t>
      </w:r>
    </w:p>
    <w:p>
      <w:pPr>
        <w:pStyle w:val="BodyText"/>
        <w:numPr>
          <w:ilvl w:val="0"/>
          <w:numId w:val="4"/>
        </w:numPr>
      </w:pPr>
      <w:r>
        <w:t xml:space="preserve">Monitor storage growth and begin paying $0.04/GB overage as storage exceeds 4TB</w:t>
      </w:r>
    </w:p>
    <w:p>
      <w:pPr>
        <w:pStyle w:val="BodyText"/>
        <w:numPr>
          <w:ilvl w:val="0"/>
          <w:numId w:val="4"/>
        </w:numPr>
      </w:pPr>
      <w:r>
        <w:t xml:space="preserve">Implement storage lifecycle policies to optimize hot/cold data distribution</w:t>
      </w:r>
    </w:p>
    <w:p>
      <w:pPr>
        <w:pStyle w:val="BodyText"/>
        <w:numPr>
          <w:ilvl w:val="0"/>
          <w:numId w:val="4"/>
        </w:numPr>
      </w:pPr>
      <w:r>
        <w:t xml:space="preserve">Engage Filebase sales team to begin enterprise tier negotiations as storage approaches 30TB</w:t>
      </w:r>
    </w:p>
    <w:p>
      <w:pPr>
        <w:pStyle w:val="BodyText"/>
        <w:numPr>
          <w:ilvl w:val="0"/>
          <w:numId w:val="4"/>
        </w:numPr>
      </w:pPr>
      <w:r>
        <w:t xml:space="preserve">Evaluate dedicated gateway performance and request additional gateways if needed</w:t>
      </w:r>
    </w:p>
    <w:p>
      <w:pPr>
        <w:pStyle w:val="Heading2"/>
      </w:pPr>
      <w:r>
        <w:t xml:space="preserve">Phase 3: Scale (Months 19-36)</w:t>
      </w:r>
    </w:p>
    <w:p>
      <w:pPr>
        <w:pStyle w:val="BodyText"/>
      </w:pPr>
      <w:r>
        <w:rPr>
          <w:b/>
          <w:bCs/>
        </w:rPr>
        <w:t xml:space="preserve">Objective: </w:t>
      </w:r>
      <w:r>
        <w:t xml:space="preserve">Transition to Enterprise tier with negotiated volume pricing and dedicated support.</w:t>
      </w:r>
    </w:p>
    <w:p>
      <w:pPr>
        <w:pStyle w:val="BodyText"/>
        <w:numPr>
          <w:ilvl w:val="0"/>
          <w:numId w:val="4"/>
        </w:numPr>
      </w:pPr>
      <w:r>
        <w:t xml:space="preserve">Migrate to Filebase Enterprise plan with custom volume-based pricing</w:t>
      </w:r>
    </w:p>
    <w:p>
      <w:pPr>
        <w:pStyle w:val="BodyText"/>
        <w:numPr>
          <w:ilvl w:val="0"/>
          <w:numId w:val="4"/>
        </w:numPr>
      </w:pPr>
      <w:r>
        <w:t xml:space="preserve">Negotiate 25-40% discount from Pro overage rates based on committed volume</w:t>
      </w:r>
    </w:p>
    <w:p>
      <w:pPr>
        <w:pStyle w:val="BodyText"/>
        <w:numPr>
          <w:ilvl w:val="0"/>
          <w:numId w:val="4"/>
        </w:numPr>
      </w:pPr>
      <w:r>
        <w:t xml:space="preserve">Expand dedicated gateway fleet for enterprise customer SLAs</w:t>
      </w:r>
    </w:p>
    <w:p>
      <w:pPr>
        <w:pStyle w:val="BodyText"/>
        <w:numPr>
          <w:ilvl w:val="0"/>
          <w:numId w:val="4"/>
        </w:numPr>
      </w:pPr>
      <w:r>
        <w:t xml:space="preserve">Implement advanced threat monitoring and content moderation features</w:t>
      </w:r>
    </w:p>
    <w:p>
      <w:r>
        <w:br w:type="page"/>
      </w:r>
    </w:p>
    <w:p>
      <w:pPr>
        <w:pStyle w:val="Heading1"/>
      </w:pPr>
      <w:r>
        <w:t xml:space="preserve">Risk Analysis &amp; Mitigations</w:t>
      </w:r>
    </w:p>
    <w:p>
      <w:pPr>
        <w:pStyle w:val="Heading2"/>
      </w:pPr>
      <w:r>
        <w:t xml:space="preserve">Vendor Concentration Risk</w:t>
      </w:r>
    </w:p>
    <w:p>
      <w:pPr>
        <w:pStyle w:val="BodyText"/>
      </w:pPr>
      <w:r>
        <w:rPr>
          <w:b/>
          <w:bCs/>
        </w:rPr>
        <w:t xml:space="preserve">Risk: </w:t>
      </w:r>
      <w:r>
        <w:t xml:space="preserve">Heavy dependence on Filebase as primary infrastructure provider creates single point of failure.</w:t>
      </w:r>
    </w:p>
    <w:p>
      <w:pPr>
        <w:pStyle w:val="BodyText"/>
      </w:pPr>
      <w:r>
        <w:rPr>
          <w:b/>
          <w:bCs/>
        </w:rPr>
        <w:t xml:space="preserve">Mitigations:</w:t>
      </w:r>
    </w:p>
    <w:p>
      <w:pPr>
        <w:pStyle w:val="BodyText"/>
        <w:numPr>
          <w:ilvl w:val="0"/>
          <w:numId w:val="5"/>
        </w:numPr>
      </w:pPr>
      <w:r>
        <w:t xml:space="preserve">S3-compatible API ensures portability to alternative providers (Pinata, Web3.Storage, self-hosted)</w:t>
      </w:r>
    </w:p>
    <w:p>
      <w:pPr>
        <w:pStyle w:val="BodyText"/>
        <w:numPr>
          <w:ilvl w:val="0"/>
          <w:numId w:val="5"/>
        </w:numPr>
      </w:pPr>
      <w:r>
        <w:t xml:space="preserve">All data stored on IPFS network, not proprietary Filebase infrastructure - CIDs remain valid regardless of provider</w:t>
      </w:r>
    </w:p>
    <w:p>
      <w:pPr>
        <w:pStyle w:val="BodyText"/>
        <w:numPr>
          <w:ilvl w:val="0"/>
          <w:numId w:val="5"/>
        </w:numPr>
      </w:pPr>
      <w:r>
        <w:t xml:space="preserve">Maintain architecture documentation for rapid migration if needed</w:t>
      </w:r>
    </w:p>
    <w:p>
      <w:pPr>
        <w:pStyle w:val="Heading2"/>
      </w:pPr>
      <w:r>
        <w:t xml:space="preserve">Pricing Change Risk</w:t>
      </w:r>
    </w:p>
    <w:p>
      <w:pPr>
        <w:pStyle w:val="BodyText"/>
      </w:pPr>
      <w:r>
        <w:rPr>
          <w:b/>
          <w:bCs/>
        </w:rPr>
        <w:t xml:space="preserve">Risk: </w:t>
      </w:r>
      <w:r>
        <w:t xml:space="preserve">Filebase could increase pricing, reducing or eliminating cost advantage.</w:t>
      </w:r>
    </w:p>
    <w:p>
      <w:pPr>
        <w:pStyle w:val="BodyText"/>
      </w:pPr>
      <w:r>
        <w:rPr>
          <w:b/>
          <w:bCs/>
        </w:rPr>
        <w:t xml:space="preserve">Mitigations:</w:t>
      </w:r>
    </w:p>
    <w:p>
      <w:pPr>
        <w:pStyle w:val="BodyText"/>
        <w:numPr>
          <w:ilvl w:val="0"/>
          <w:numId w:val="5"/>
        </w:numPr>
      </w:pPr>
      <w:r>
        <w:t xml:space="preserve">Historical trend shows Filebase reducing prices (March 2024 update lowered overage from $0.12 to $0.04/GB)</w:t>
      </w:r>
    </w:p>
    <w:p>
      <w:pPr>
        <w:pStyle w:val="BodyText"/>
        <w:numPr>
          <w:ilvl w:val="0"/>
          <w:numId w:val="5"/>
        </w:numPr>
      </w:pPr>
      <w:r>
        <w:t xml:space="preserve">Enterprise contracts can lock in pricing for 12-24 month terms</w:t>
      </w:r>
    </w:p>
    <w:p>
      <w:pPr>
        <w:pStyle w:val="BodyText"/>
        <w:numPr>
          <w:ilvl w:val="0"/>
          <w:numId w:val="5"/>
        </w:numPr>
      </w:pPr>
      <w:r>
        <w:t xml:space="preserve">Model uses conservative Pro-tier pricing, not optimistic enterprise estimates</w:t>
      </w:r>
    </w:p>
    <w:p>
      <w:pPr>
        <w:pStyle w:val="Heading2"/>
      </w:pPr>
      <w:r>
        <w:t xml:space="preserve">Technical Performance Risk</w:t>
      </w:r>
    </w:p>
    <w:p>
      <w:pPr>
        <w:pStyle w:val="BodyText"/>
      </w:pPr>
      <w:r>
        <w:rPr>
          <w:b/>
          <w:bCs/>
        </w:rPr>
        <w:t xml:space="preserve">Risk: </w:t>
      </w:r>
      <w:r>
        <w:t xml:space="preserve">IPFS gateway latency or availability issues could impact user experience.</w:t>
      </w:r>
    </w:p>
    <w:p>
      <w:pPr>
        <w:pStyle w:val="BodyText"/>
      </w:pPr>
      <w:r>
        <w:rPr>
          <w:b/>
          <w:bCs/>
        </w:rPr>
        <w:t xml:space="preserve">Mitigations:</w:t>
      </w:r>
    </w:p>
    <w:p>
      <w:pPr>
        <w:pStyle w:val="BodyText"/>
        <w:numPr>
          <w:ilvl w:val="0"/>
          <w:numId w:val="5"/>
        </w:numPr>
      </w:pPr>
      <w:r>
        <w:t xml:space="preserve">Filebase's 250+ CDN points of presence provide global coverage</w:t>
      </w:r>
    </w:p>
    <w:p>
      <w:pPr>
        <w:pStyle w:val="BodyText"/>
        <w:numPr>
          <w:ilvl w:val="0"/>
          <w:numId w:val="5"/>
        </w:numPr>
      </w:pPr>
      <w:r>
        <w:t xml:space="preserve">Dedicated gateways avoid public gateway congestion issues</w:t>
      </w:r>
    </w:p>
    <w:p>
      <w:pPr>
        <w:pStyle w:val="BodyText"/>
        <w:numPr>
          <w:ilvl w:val="0"/>
          <w:numId w:val="5"/>
        </w:numPr>
      </w:pPr>
      <w:r>
        <w:t xml:space="preserve">S3 fallback layer in our architecture provides redundancy for critical access patterns</w:t>
      </w:r>
    </w:p>
    <w:p>
      <w:r>
        <w:br w:type="page"/>
      </w:r>
    </w:p>
    <w:p>
      <w:pPr>
        <w:pStyle w:val="Heading1"/>
      </w:pPr>
      <w:r>
        <w:t xml:space="preserve">Investor Narrative</w:t>
      </w:r>
    </w:p>
    <w:p>
      <w:pPr>
        <w:pStyle w:val="BodyText"/>
        <w:spacing w:after="200"/>
      </w:pPr>
      <w:r>
        <w:rPr>
          <w:i/>
          <w:iCs/>
        </w:rPr>
        <w:t xml:space="preserve">BlockDrive leverages Filebase's enterprise IPFS infrastructure to achieve 71-90% gross margins</w:t>
      </w:r>
      <w:r>
        <w:rPr>
          <w:i/>
          <w:iCs/>
        </w:rPr>
        <w:t xml:space="preserve"> - competitive with industry leaders Dropbox (82-84%) and Box (75-78%) - </w:t>
      </w:r>
      <w:r>
        <w:rPr>
          <w:i/>
          <w:iCs/>
        </w:rPr>
        <w:t xml:space="preserve">while maintaining 80%+ decentralized storage for true Web3 value proposition.</w:t>
      </w:r>
    </w:p>
    <w:p>
      <w:pPr>
        <w:pStyle w:val="Heading2"/>
      </w:pPr>
      <w:r>
        <w:t xml:space="preserve">Key Talking Points</w:t>
      </w:r>
    </w:p>
    <w:p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S3-Compatible API: </w:t>
      </w:r>
      <w:r>
        <w:t xml:space="preserve">Unifies decentralized and centralized storage management through industry-standard interfaces, reducing engineering complexity and enabling rapid iteration</w:t>
      </w:r>
    </w:p>
    <w:p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73% Cost Reduction: </w:t>
      </w:r>
      <w:r>
        <w:t xml:space="preserve">Enterprise pricing at $0.04/GB versus $0.15/GB retail IPFS rates transforms unit economics from loss-making to profitable at scale</w:t>
      </w:r>
    </w:p>
    <w:p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Included CDN Infrastructure: </w:t>
      </w:r>
      <w:r>
        <w:t xml:space="preserve">5 dedicated gateways eliminate separate edge infrastructure costs and complexity, providing enterprise-grade content delivery from day one</w:t>
      </w:r>
    </w:p>
    <w:p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Clear Path to Scale: </w:t>
      </w:r>
      <w:r>
        <w:t xml:space="preserve">Predictable progression from Pro ($100/mo) to Enterprise tiers with volume discounts as storage scales beyond 50TB</w:t>
      </w:r>
    </w:p>
    <w:p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True Decentralization: </w:t>
      </w:r>
      <w:r>
        <w:t xml:space="preserve">Unlike competitors who use IPFS as a marketing term while storing data on AWS, Filebase operates genuine IPFS infrastructure with 3x geo-redundant pinning</w:t>
      </w:r>
    </w:p>
    <w:p>
      <w:pPr>
        <w:pStyle w:val="Heading2"/>
      </w:pPr>
      <w:r>
        <w:t xml:space="preserve">Competitive Differentiation</w:t>
      </w:r>
    </w:p>
    <w:p>
      <w:pPr>
        <w:pStyle w:val="BodyText"/>
      </w:pPr>
      <w:r>
        <w:t xml:space="preserve">By building on Filebase, BlockDrive achieves a unique market position: the cost efficiency of cloud-native infrastructure combined with the security and sovereignty benefits of true decentralization. This is not "decentralization theater" - our architecture stores 85% of file data on IPFS while using S3 only for metadata and ZK proofs that require low-latency access.</w:t>
      </w:r>
    </w:p>
    <w:p>
      <w:pPr>
        <w:pStyle w:val="BodyText"/>
      </w:pPr>
      <w:r>
        <w:t xml:space="preserve">The result is a storage platform that can credibly claim both </w:t>
      </w:r>
      <w:r>
        <w:rPr>
          <w:b/>
          <w:bCs/>
        </w:rPr>
        <w:t xml:space="preserve">enterprise-grade reliability</w:t>
      </w:r>
      <w:r>
        <w:t xml:space="preserve"> and </w:t>
      </w:r>
      <w:r>
        <w:rPr>
          <w:b/>
          <w:bCs/>
        </w:rPr>
        <w:t xml:space="preserve">genuine decentralization</w:t>
      </w:r>
      <w:r>
        <w:t xml:space="preserve"> - a combination no incumbent offers today.</w:t>
      </w:r>
    </w:p>
    <w:p>
      <w:pPr>
        <w:spacing w:before="400"/>
      </w:pPr>
    </w:p>
    <w:p>
      <w:pPr>
        <w:pStyle w:val="Callout"/>
      </w:pPr>
      <w:r>
        <w:t xml:space="preserve">Bottom Line: Filebase infrastructure enables BlockDrive to compete on margins with Dropbox while delivering true Web3 value proposition.</w:t>
      </w:r>
    </w:p>
    <w:p>
      <w:r>
        <w:br w:type="page"/>
      </w:r>
    </w:p>
    <w:p>
      <w:pPr>
        <w:pStyle w:val="Heading1"/>
      </w:pPr>
      <w:r>
        <w:t xml:space="preserve">Appendix: Technical Architecture</w:t>
      </w:r>
    </w:p>
    <w:p>
      <w:pPr>
        <w:pStyle w:val="Heading2"/>
      </w:pPr>
      <w:r>
        <w:t xml:space="preserve">BlockDrive Storage Distribution</w:t>
      </w:r>
    </w:p>
    <w:p>
      <w:pPr>
        <w:pStyle w:val="BodyText"/>
      </w:pPr>
      <w:r>
        <w:t xml:space="preserve">BlockDrive's "Programmed Incompleteness" architecture distributes data across storage tiers based on access patterns and security requirements: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Component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 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sz w:val="18"/>
                <w:szCs w:val="18"/>
              </w:rPr>
              <w:t xml:space="preserve">Encrypted File Chunks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99.9%+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IPFS (Filebase)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sz w:val="18"/>
                <w:szCs w:val="18"/>
              </w:rPr>
              <w:t xml:space="preserve">Primary decentralized storage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r>
              <w:rPr>
                <w:sz w:val="18"/>
                <w:szCs w:val="18"/>
              </w:rPr>
              <w:t xml:space="preserve">ZK Proofs (16 bytes)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&lt;0.1%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 + IPFS backup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r>
              <w:rPr>
                <w:sz w:val="18"/>
                <w:szCs w:val="18"/>
              </w:rPr>
              <w:t xml:space="preserve">Critical for file reconstruction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sz w:val="18"/>
                <w:szCs w:val="18"/>
              </w:rPr>
              <w:t xml:space="preserve">Encrypted Metadata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&lt;0.01%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S3/IPFS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sz w:val="18"/>
                <w:szCs w:val="18"/>
              </w:rPr>
              <w:t xml:space="preserve">Filename, size, type info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r>
              <w:rPr>
                <w:sz w:val="18"/>
                <w:szCs w:val="18"/>
              </w:rPr>
              <w:t xml:space="preserve">On-Chain Commitment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~64 bytes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Solana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r>
              <w:rPr>
                <w:sz w:val="18"/>
                <w:szCs w:val="18"/>
              </w:rPr>
              <w:t xml:space="preserve">CID reference only</w:t>
            </w:r>
          </w:p>
        </w:tc>
      </w:tr>
    </w:tbl>
    <w:p>
      <w:pPr>
        <w:pStyle w:val="Heading2"/>
      </w:pPr>
      <w:r>
        <w:t xml:space="preserve">Hybrid Mix by Year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IPFS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S3 Hot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S3 Cold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sz w:val="20"/>
                <w:szCs w:val="20"/>
              </w:rPr>
              <w:t xml:space="preserve">Year 1 (Launch)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b/>
                <w:bCs/>
                <w:color w:val="28B463"/>
                <w:sz w:val="20"/>
                <w:szCs w:val="20"/>
              </w:rPr>
              <w:t xml:space="preserve">85%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r>
              <w:rPr>
                <w:sz w:val="20"/>
                <w:szCs w:val="20"/>
              </w:rPr>
              <w:t xml:space="preserve">Year 2 (Growth)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b/>
                <w:bCs/>
                <w:color w:val="28B463"/>
                <w:sz w:val="20"/>
                <w:szCs w:val="20"/>
              </w:rPr>
              <w:t xml:space="preserve">82%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sz w:val="20"/>
                <w:szCs w:val="20"/>
              </w:rPr>
              <w:t xml:space="preserve">Year 3 (Scale)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b/>
                <w:bCs/>
                <w:color w:val="28B463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5%</w:t>
            </w:r>
          </w:p>
        </w:tc>
      </w:tr>
    </w:tbl>
    <w:p>
      <w:pPr>
        <w:pStyle w:val="BodyText"/>
        <w:spacing w:before="200"/>
      </w:pPr>
      <w:r>
        <w:rPr>
          <w:b/>
          <w:bCs/>
        </w:rPr>
        <w:t xml:space="preserve">Note: </w:t>
      </w:r>
      <w:r>
        <w:t xml:space="preserve">The slight reduction in IPFS percentage over time reflects increased CDN caching for frequently accessed files, not a move away from decentralization. Core file storage remains IPFS-first throughout.</w:t>
      </w:r>
    </w:p>
    <w:p>
      <w:pPr>
        <w:pStyle w:val="Heading2"/>
      </w:pPr>
      <w:r>
        <w:t xml:space="preserve">Data Sources</w:t>
      </w:r>
    </w:p>
    <w:p>
      <w:pPr>
        <w:pStyle w:val="BodyText"/>
        <w:numPr>
          <w:ilvl w:val="0"/>
          <w:numId w:val="5"/>
        </w:numPr>
      </w:pPr>
      <w:r>
        <w:t xml:space="preserve">Filebase Pricing Update (March 2024): filebase.com/blog/announcing-filebases-updated-pricing</w:t>
      </w:r>
    </w:p>
    <w:p>
      <w:pPr>
        <w:pStyle w:val="BodyText"/>
        <w:numPr>
          <w:ilvl w:val="0"/>
          <w:numId w:val="5"/>
        </w:numPr>
      </w:pPr>
      <w:r>
        <w:t xml:space="preserve">Dropbox FY2024 10-K: SEC Filing (Gross Margin 82.5% GAAP, 84% non-GAAP)</w:t>
      </w:r>
    </w:p>
    <w:p>
      <w:pPr>
        <w:pStyle w:val="BodyText"/>
        <w:numPr>
          <w:ilvl w:val="0"/>
          <w:numId w:val="5"/>
        </w:numPr>
      </w:pPr>
      <w:r>
        <w:t xml:space="preserve">Box FY2024 10-K: SEC Filing (Gross Margin 74.8% GAAP)</w:t>
      </w:r>
    </w:p>
    <w:p>
      <w:pPr>
        <w:pStyle w:val="BodyText"/>
        <w:numPr>
          <w:ilvl w:val="0"/>
          <w:numId w:val="5"/>
        </w:numPr>
      </w:pPr>
      <w:r>
        <w:t xml:space="preserve">BlockDrive Financial Model: blockdrive_financial_model_lean_tiered_safe.html</w:t>
      </w:r>
    </w:p>
    <w:p>
      <w:pPr>
        <w:pStyle w:val="BodyText"/>
        <w:numPr>
          <w:ilvl w:val="0"/>
          <w:numId w:val="5"/>
        </w:numPr>
      </w:pPr>
      <w:r>
        <w:t xml:space="preserve">BlockDrive Technical Whitepaper: Programmed Incompleteness Architecture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BDC3C7"/>
        <w:sz w:val="18"/>
        <w:szCs w:val="18"/>
      </w:rPr>
      <w:t xml:space="preserve">CONFIDENTIAL</w:t>
    </w:r>
    <w:r>
      <w:rPr>
        <w:color w:val="BDC3C7"/>
        <w:sz w:val="18"/>
        <w:szCs w:val="18"/>
      </w:rPr>
      <w:t xml:space="preserve">  |  Page </w:t>
    </w:r>
    <w:r>
      <w:rPr>
        <w:color w:val="BDC3C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BDC3C7"/>
        <w:sz w:val="18"/>
        <w:szCs w:val="18"/>
      </w:rPr>
      <w:t xml:space="preserve"> of </w:t>
    </w:r>
    <w:r>
      <w:rPr>
        <w:color w:val="BDC3C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BDC3C7"/>
        <w:sz w:val="20"/>
        <w:szCs w:val="20"/>
      </w:rPr>
      <w:t xml:space="preserve">BlockDrive Infrastructure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4F7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  <w:style w:type="paragraph" w:styleId="Subtitle">
    <w:name w:val="Subtitle"/>
    <w:basedOn w:val="Normal"/>
    <w:pPr>
      <w:spacing w:before="0" w:after="400"/>
      <w:jc w:val="center"/>
    </w:pPr>
    <w:rPr>
      <w:rFonts w:ascii="Arial" w:cs="Arial" w:eastAsia="Arial" w:hAnsi="Arial"/>
      <w:i/>
      <w:iCs/>
      <w:color w:val="2E86AB"/>
      <w:sz w:val="28"/>
      <w:szCs w:val="28"/>
    </w:rPr>
  </w:style>
  <w:style w:type="paragraph" w:styleId="BodyText">
    <w:name w:val="Body Text"/>
    <w:basedOn w:val="Normal"/>
    <w:pPr>
      <w:spacing w:before="0" w:after="120"/>
      <w:jc w:val="both"/>
    </w:pPr>
    <w:rPr>
      <w:rFonts w:ascii="Arial" w:cs="Arial" w:eastAsia="Arial" w:hAnsi="Arial"/>
      <w:color w:val="2C3E50"/>
      <w:sz w:val="22"/>
      <w:szCs w:val="22"/>
    </w:rPr>
  </w:style>
  <w:style w:type="paragraph" w:styleId="Callout">
    <w:name w:val="Callout"/>
    <w:basedOn w:val="Normal"/>
    <w:pPr>
      <w:spacing w:before="200" w:after="200"/>
      <w:jc w:val="center"/>
    </w:pPr>
    <w:rPr>
      <w:rFonts w:ascii="Arial" w:cs="Arial" w:eastAsia="Arial" w:hAnsi="Arial"/>
      <w:b/>
      <w:bCs/>
      <w:color w:val="28B4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2025-11-28T17:38:04.500Z</dcterms:created>
  <dcterms:modified xsi:type="dcterms:W3CDTF">2025-11-28T17:38:04.501Z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