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 – DRG- &amp; ICD-basierte Klinikselektion und Ranking</w:t>
      </w:r>
    </w:p>
    <w:p/>
    <w:p>
      <w:r>
        <w:t>Ziel der Analyse ist der Aufbau eines deutschlandweiten Klinikrankings zur Identifikation von Kliniken mit potenzieller antibiotischer Unterversorgung bei periprothetischen Infektionen (Biofilm).</w:t>
      </w:r>
    </w:p>
    <w:p/>
    <w:p>
      <w:r>
        <w:t>Grundannahme:</w:t>
      </w:r>
    </w:p>
    <w:p>
      <w:r>
        <w:t>Kliniken mit hohem Volumen an Hüft- und Knieendoprothesen weisen absolut mehr Infektionen auf. Wird im Verhältnis dazu ein niedriger Einsatz biofilmrelevanter Antibiotika beobachtet, kann dies ein Hinweis auf Unterversorgung sein.</w:t>
      </w:r>
    </w:p>
    <w:p/>
    <w:p>
      <w:r>
        <w:t>1. DRG-basierte Referenzlogik (Goldstandard)</w:t>
      </w:r>
    </w:p>
    <w:p>
      <w:r>
        <w:t>Primär-Endoprothetik:</w:t>
      </w:r>
    </w:p>
    <w:p>
      <w:r>
        <w:t>Hüfte: I44A–I44C</w:t>
      </w:r>
    </w:p>
    <w:p>
      <w:r>
        <w:t>Knie: I47A–I47C</w:t>
      </w:r>
    </w:p>
    <w:p/>
    <w:p>
      <w:r>
        <w:t>Diese DRGs bilden das operative Implantationsvolumen ab und dienen als bestes Maß für das OP-Exposure.</w:t>
      </w:r>
    </w:p>
    <w:p/>
    <w:p>
      <w:r>
        <w:t>Abgrenzung:</w:t>
      </w:r>
    </w:p>
    <w:p>
      <w:r>
        <w:t>Revisionen und Wechsel:</w:t>
      </w:r>
    </w:p>
    <w:p>
      <w:r>
        <w:t>Hüfte: I45*</w:t>
      </w:r>
    </w:p>
    <w:p>
      <w:r>
        <w:t>Knie: I48*</w:t>
      </w:r>
    </w:p>
    <w:p>
      <w:r>
        <w:t>Diese werden nicht für das Primärvolumen genutzt, sondern lediglich als Komplexitäts- bzw. Referenzzentrum-Korrekturfaktor.</w:t>
      </w:r>
    </w:p>
    <w:p/>
    <w:p>
      <w:r>
        <w:t>2. ICD-10-basierte Surrogatlogik (bei fehlenden DRG-Daten)</w:t>
      </w:r>
    </w:p>
    <w:p>
      <w:r>
        <w:t>Da ICD-10 Diagnosen und keine Eingriffe abbildet, wird die Primär-Endoprothetik über Arthrose-Diagnosen approximiert.</w:t>
      </w:r>
    </w:p>
    <w:p/>
    <w:p>
      <w:r>
        <w:t>Hüfte – Coxarthrose:</w:t>
      </w:r>
    </w:p>
    <w:p>
      <w:r>
        <w:t>M16.0 Primäre Coxarthrose, beidseitig</w:t>
      </w:r>
    </w:p>
    <w:p>
      <w:r>
        <w:t>M16.1 Sonstige primäre Coxarthrose</w:t>
      </w:r>
    </w:p>
    <w:p/>
    <w:p>
      <w:r>
        <w:t>Knie – Gonarthrose:</w:t>
      </w:r>
    </w:p>
    <w:p>
      <w:r>
        <w:t>M17.0 Primäre Gonarthrose, beidseitig</w:t>
      </w:r>
    </w:p>
    <w:p>
      <w:r>
        <w:t>M17.1 Sonstige primäre Gonarthrose</w:t>
      </w:r>
    </w:p>
    <w:p/>
    <w:p>
      <w:r>
        <w:t>Kern-Surrogat:</w:t>
      </w:r>
    </w:p>
    <w:p>
      <w:r>
        <w:t>M16.0 + M16.1 + M17.0 + M17.1</w:t>
      </w:r>
    </w:p>
    <w:p/>
    <w:p>
      <w:r>
        <w:t>3. Schärfung des ICD-Surrogats</w:t>
      </w:r>
    </w:p>
    <w:p>
      <w:r>
        <w:t>Einschlusskriterien:</w:t>
      </w:r>
    </w:p>
    <w:p>
      <w:r>
        <w:t>Alter ≥ 50 Jahre (optional ≥55)</w:t>
      </w:r>
    </w:p>
    <w:p>
      <w:r>
        <w:t>Stationäre Fälle</w:t>
      </w:r>
    </w:p>
    <w:p>
      <w:r>
        <w:t>Hauptdiagnose</w:t>
      </w:r>
    </w:p>
    <w:p/>
    <w:p>
      <w:r>
        <w:t>Ausschlusskriterien:</w:t>
      </w:r>
    </w:p>
    <w:p>
      <w:r>
        <w:t>T84.* Komplikationen durch Endoprothesen</w:t>
      </w:r>
    </w:p>
    <w:p>
      <w:r>
        <w:t>Z96.6 Vorhandensein einer Gelenkprothese</w:t>
      </w:r>
    </w:p>
    <w:p>
      <w:r>
        <w:t>M00.* Septische Arthritis</w:t>
      </w:r>
    </w:p>
    <w:p/>
    <w:p>
      <w:r>
        <w:t>Ziel ist die Annäherung an Primärimplantationen ohne Revisionen oder Folgeereignisse.</w:t>
      </w:r>
    </w:p>
    <w:p/>
    <w:p>
      <w:r>
        <w:t>4. Modellierung der erwarteten Infektionslast</w:t>
      </w:r>
    </w:p>
    <w:p>
      <w:r>
        <w:t>Auf Basis des OP-Exposures (DRG oder ICD-Surrogat):</w:t>
      </w:r>
    </w:p>
    <w:p>
      <w:r>
        <w:t>Referenz-Infektionsrate Primär-TEP: 1–2 %</w:t>
      </w:r>
    </w:p>
    <w:p>
      <w:r>
        <w:t>Optional adjustiert nach:</w:t>
      </w:r>
    </w:p>
    <w:p>
      <w:r>
        <w:t>Versorgungsstufe</w:t>
      </w:r>
    </w:p>
    <w:p>
      <w:r>
        <w:t>Case-Mix</w:t>
      </w:r>
    </w:p>
    <w:p>
      <w:r>
        <w:t>Altersstruktur</w:t>
      </w:r>
    </w:p>
    <w:p/>
    <w:p>
      <w:r>
        <w:t>Ergebnis:</w:t>
      </w:r>
    </w:p>
    <w:p>
      <w:r>
        <w:t>Expected Infection Index (EII) pro Klinik</w:t>
      </w:r>
    </w:p>
    <w:p/>
    <w:p>
      <w:r>
        <w:t>5. Antibiotika-Abgleich</w:t>
      </w:r>
    </w:p>
    <w:p>
      <w:r>
        <w:t>Ermittlung des tatsächlichen Antibiotikaeinsatzes pro Klinik.</w:t>
      </w:r>
    </w:p>
    <w:p/>
    <w:p>
      <w:r>
        <w:t>Bevorzugte Kennzahlen:</w:t>
      </w:r>
    </w:p>
    <w:p>
      <w:r>
        <w:t>DDD</w:t>
      </w:r>
    </w:p>
    <w:p>
      <w:r>
        <w:t>Therapietage</w:t>
      </w:r>
    </w:p>
    <w:p>
      <w:r>
        <w:t>Behandelte Fälle</w:t>
      </w:r>
    </w:p>
    <w:p/>
    <w:p>
      <w:r>
        <w:t>Nicht empfohlen:</w:t>
      </w:r>
    </w:p>
    <w:p>
      <w:r>
        <w:t>Umsatz</w:t>
      </w:r>
    </w:p>
    <w:p/>
    <w:p>
      <w:r>
        <w:t>Ergebnis:</w:t>
      </w:r>
    </w:p>
    <w:p>
      <w:r>
        <w:t>Observed Antibiotic Use (OAU)</w:t>
      </w:r>
    </w:p>
    <w:p/>
    <w:p>
      <w:r>
        <w:t>6. Kernkennzahl: Antibiotic Adequacy Index</w:t>
      </w:r>
    </w:p>
    <w:p>
      <w:r>
        <w:t>Berechnung:</w:t>
      </w:r>
    </w:p>
    <w:p>
      <w:r>
        <w:t>Observed Antibiotic Use (OAU) geteilt durch Expected Infection Index (EII)</w:t>
      </w:r>
    </w:p>
    <w:p/>
    <w:p>
      <w:r>
        <w:t>Interpretation:</w:t>
      </w:r>
    </w:p>
    <w:p>
      <w:r>
        <w:t>&lt; 0,7 Hinweis auf Unterversorgung</w:t>
      </w:r>
    </w:p>
    <w:p>
      <w:r>
        <w:t>0,7–1,3 Plausibler Bereich</w:t>
      </w:r>
    </w:p>
    <w:p>
      <w:r>
        <w:t>&gt; 1,3 Überversorgung oder Referenzzentrums-Effekt</w:t>
      </w:r>
    </w:p>
    <w:p/>
    <w:p>
      <w:r>
        <w:t>7. Zweck des Rankings</w:t>
      </w:r>
    </w:p>
    <w:p>
      <w:r>
        <w:t>Das Ranking dient nicht der Qualitätsbewertung einzelner Kliniken, sondern der Identifikation von:</w:t>
      </w:r>
    </w:p>
    <w:p>
      <w:r>
        <w:t>Kliniken mit hohem Biofilm-Risiko</w:t>
      </w:r>
    </w:p>
    <w:p>
      <w:r>
        <w:t>Potenziellem Bedarf an leitliniennaher antibiotischer Therapie</w:t>
      </w:r>
    </w:p>
    <w:p>
      <w:r>
        <w:t>Zielkliniken für Medical Education und ABS-Programme</w:t>
      </w:r>
    </w:p>
    <w:p/>
    <w:p>
      <w:r>
        <w:t>8. Methodische Einschränkungen</w:t>
      </w:r>
    </w:p>
    <w:p>
      <w:r>
        <w:t>ICD-10 stellt ein Surrogat dar und bildet keine Eingriffe ab</w:t>
      </w:r>
    </w:p>
    <w:p>
      <w:r>
        <w:t>Ambulante Nachbehandlung ggf. nicht sichtbar</w:t>
      </w:r>
    </w:p>
    <w:p>
      <w:r>
        <w:t>Substitution durch andere Antibiotika möglich</w:t>
      </w:r>
    </w:p>
    <w:p/>
    <w:p>
      <w:r>
        <w:t>Das Ergebnis ist ein Targeting- und Priorisierungsinstrument, kein Outcome- oder Qualitätsindikator.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