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AWS Services Checklist</w:t>
      </w:r>
    </w:p>
    <w:p>
      <w:pPr>
        <w:jc w:val="both"/>
        <w:rPr>
          <w:rFonts w:hint="default"/>
          <w:b/>
          <w:bCs/>
          <w:sz w:val="32"/>
          <w:szCs w:val="32"/>
        </w:rPr>
      </w:pPr>
    </w:p>
    <w:p>
      <w:p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IAM Checklist:</w:t>
      </w:r>
    </w:p>
    <w:p>
      <w:pPr>
        <w:jc w:val="both"/>
        <w:rPr>
          <w:rFonts w:hint="default"/>
          <w:b w:val="0"/>
          <w:bCs w:val="0"/>
          <w:sz w:val="28"/>
          <w:szCs w:val="28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Avoid the use of "root" account.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Ensure MFA is enabled for all the IAM users that have a console password.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Ensure credentials unused for 90 days or greater are disabled.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Ensure access keys are rotated every 90 days or less.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Ensure IAM password policy requires at least one uppercase letter.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Ensure IAM password policy requires at least one lowercase letter.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Ensure IAM password policy requires at least one symbol.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Ensure IAM password policy requires at least one number.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Ensure IAM password policy requires a minimum length of 14 or greater.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Ensure IAM password policy prevents password reuse.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Ensure IAM password policy expires passwords within 90 days or less.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Ensure no root account access key exists.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Ensure MFA is enabled for the "root" account.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Ensure hardware MFA is enabled for the "root" account.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Ensure security questions are registered in the AWS account.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Ensure IAM policies are attached only to groups or roles.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Do not setup access keys during the initial user setup for all IAM users that have a console password.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Ensure IAM policies that allow full ":" administrative privileges are not created.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Ensure an IAM group for administration purposes is created.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Follow the principle of least privilege while assigning permissions to users.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If a user from another AWS account needs access, grant permission using roles.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EC2 Checklist:</w:t>
      </w:r>
    </w:p>
    <w:p>
      <w:pPr>
        <w:jc w:val="both"/>
        <w:rPr>
          <w:rFonts w:hint="default"/>
          <w:b w:val="0"/>
          <w:bCs w:val="0"/>
          <w:sz w:val="28"/>
          <w:szCs w:val="28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Use the latest AMI provided by Amazon AWS as they are more secure.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Use strong and unique SSH key pairs to connect to your instances.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Restrict SSH access by allowing connections only from trusted IP addresses or IP ranges.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Disable password-based authentication for SSH.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Apply the principle of least privilege by allowing only necessary ports and protocols.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Regularly review and update security group rules.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Enable multi-factor authentication.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Avoid using root credentials for day-to-day tasks.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Use VPC Flow Logs to monitor the traffic that reaches your instances.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Restrict access to your instances using security groups.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Use private subnets for instances that should not be accessed directly from the internet.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Ensure data and disk volumes in EBS are encrypted with AES-256.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Restrict inbound access to SSH, FTP, SMTP, MySQL, PostgreSQL, MongoDB, MSSQL, CIFS, etc., to required entities only.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Use IAM roles to grant access to EC2, instead of access keys for temporary requirements.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Make sure that no VPC endpoints are exposed by checking the principal value in the policy.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Ensure no ACLs allow unrestricted inbound or outbound access.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S3 Checklist: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Ensure that your Amazon S3 buckets use the correct policies and are not publicly accessible.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Make use of object-level or bucket-level permissions in addition to IAM Policies to grant access to resources.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Enable MFA Delete to prevent accidental deletion of buckets.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Consider encryption of stored data, both server-side and client-side.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Enable encryption of inbound and outbound data traffic through SSL endpoints.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Configure S3 lifecycle management and versioning to deal with accidental deletions.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Ensure S3 access logging is enabled.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Constantly audit and monitor S3 buckets using CloudWatch metrics.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Implement least privilege access.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Consider using VPC endpoints for Amazon S3 access.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RDS Checklist: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Configure appropriate database subnet groups.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Disable public accessibility to your RDS instances.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Configure network access control lists (ACLs).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Configure security groups.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Run the database on non-default ports.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Enable encryption at rest for RDS instances.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Implement appropriate database authentications.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Restrict access to cloud users on Amazon RDS using IAM policies.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Implement additional logging and monitoring.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Enable automatic minor version upgrades.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Follow client access guidelines.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Implement encryption in transit using SSL/TLS.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Implement least privilege model for DB users.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Restrict operations using account resource limits.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Record all activities on the database using audit logging.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ELB (Elastic Load Balancer) Checklist:</w:t>
      </w:r>
    </w:p>
    <w:p>
      <w:pPr>
        <w:jc w:val="both"/>
        <w:rPr>
          <w:rFonts w:hint="default"/>
          <w:b w:val="0"/>
          <w:bCs w:val="0"/>
          <w:sz w:val="28"/>
          <w:szCs w:val="28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Use HTTP/SSL.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Configure ELB security policies to support strong cipher suites and protocols.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Utilize AWS Web Application Firewall (WAF) in conjunction with the ELB for protection against common web attacks.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Enable access logging on the ELB.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Consider using AWS Shield Advanced for enhanced DDoS protection and real-time monitoring.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Conduct periodic security assessments and reviews of your ELB configuration.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Lambda Checklist:</w:t>
      </w:r>
    </w:p>
    <w:p>
      <w:pPr>
        <w:jc w:val="both"/>
        <w:rPr>
          <w:rFonts w:hint="default"/>
          <w:b w:val="0"/>
          <w:bCs w:val="0"/>
          <w:sz w:val="28"/>
          <w:szCs w:val="28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Record all activities on the database using audit logging.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Implement logging and audit trails for AWS Lambda.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Use temporary AWS credentials.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Define and categorize assets.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Design an information security management system to protect assets.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Configure security groups and network ACLs for Lambda functions.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Monitor and analyze CloudWatch Logs for Lambda functions.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Implement least privilege access control for Lambda functions.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Restrict operations using account resource limits.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ECS (Elastic Container Service) Checklist: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Review and configure the cloud control panel settings, including access control and container images.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Choose the right public or private Elastic Container Registry (ECR) for images.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Configure Amazon ECR to scan images on push using basic or enhanced scanning.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Use VPC Endpoint or security with known sources only.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Implement compliance standards as per business requirements.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Use Amazon Organization Service Control Policies (SCPs) to manage ECS tasks, creation, and region lock.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Enable AWS CloudTrail and monitor for malicious ECS behavior by an identity in AWS.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Enable AWS Config rules in the account and region of ECS.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Use access control (roles or IAM users) for ECS clusters, services, and tasks.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Use the most recent version of the ECR agent daemon on EC2.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Do not store secrets/passwords in ECS Task Definitions.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Use trusted container images only from ECR with no high/critical vulnerabilities.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Limit the ability to SSH into EC2 containers to read-only file systems.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Use API or GitOps to pull information for troubleshooting.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Use Amazon CloudWatch to monitor malicious ECS configuration changes.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Only use authorized container images.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EKS (Elastic Kubernetes Service) Checklist:</w:t>
      </w:r>
    </w:p>
    <w:p>
      <w:pPr>
        <w:jc w:val="both"/>
        <w:rPr>
          <w:rFonts w:hint="default"/>
          <w:b w:val="0"/>
          <w:bCs w:val="0"/>
          <w:sz w:val="28"/>
          <w:szCs w:val="28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Isolate Kubernetes nodes.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Strengthen authentication and authorization.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Take advantage of Kubernetes Roles-Based Access Control (RBAC).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Avoid keeping secrets in an environment variable.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Don't run containers in privileged mode.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Don't share the host's IPC or network namespaces.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Disable NET_RAW.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Check unsafe/proc mount.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Don't use the root file system for container security.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Build a rolling update strategy.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AWS CodeBuild Checklist: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Utilize AWS Identity and Access Management (IAM) to control access to CodeBuild resources.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Follow the principle of least privilege by granting only the necessary permissions to users and roles.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Enable multi-factor authentication (MFA) for IAM users with access to CodeBuild.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Store your source code in a secure and version-controlled repository, such as AWS CodeCommit or a trusted external source control system.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Regularly update and patch the operating systems and software packages in your build environments.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Use dedicated build environments for different projects to minimize the risk of code contamination.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Restrict network access to build environments by placing them in private subnets and configuring security groups and network ACLs accordingly.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Use separate build environments for different stages of the software development lifecycle to minimize the impact of security breaches.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Avoid hard-coding sensitive information, such as API keys or credentials, directly in build specifications or source code.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Enable logging for CodeBuild builds and configure logs to be stored centrally in services like Amazon CloudWatch Logs or Amazon S3.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Stay up to date with the latest features, patches, and updates provided by AWS for CodeBuild.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Implement build-time checks and tests for security-related requirements, such as secure coding practices and adherence to security policies.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Encrypt environment variables that contain sensitive data in transit and at rest.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Utilize code analysis tools and security scanners to identify vulnerabilities or potential security issues in your code.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Stay up to date with the latest features, patches, and updates provided by AWS for CodeBuild.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AWS CodePipeline Checklist:</w:t>
      </w:r>
    </w:p>
    <w:p>
      <w:pPr>
        <w:jc w:val="both"/>
        <w:rPr>
          <w:rFonts w:hint="default"/>
          <w:b w:val="0"/>
          <w:bCs w:val="0"/>
          <w:sz w:val="28"/>
          <w:szCs w:val="28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Ensure IAM privileges are least privileged in CI/CD.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Ensure the security of the CI/CD pipeline.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Ensure the production environment does not allow manual changes or SSH access.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Set up proper policies in GitHub for GitHub Actions.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Allow GitHub Actions to create and approve pull requests.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Require approval for every pull request before merging into the main branch.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DynamoDB Checklist:</w:t>
      </w:r>
    </w:p>
    <w:p>
      <w:pPr>
        <w:jc w:val="both"/>
        <w:rPr>
          <w:rFonts w:hint="default"/>
          <w:b w:val="0"/>
          <w:bCs w:val="0"/>
          <w:sz w:val="28"/>
          <w:szCs w:val="28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Enable encryption at rest for DynamoDB.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Use IAM roles to authenticate access to DynamoDB.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Use IAM policies for DynamoDB-based authorization.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Use IAM policy conditions for fine-grained access control.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Use a VPC endpoint and policies to access DynamoDB.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Consider client-side encryption.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Use AWS CloudTrail to monitor AWS managed KMS key usage.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Tag your DynamoDB resources for identification and automation.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CloudFront Checklist:</w:t>
      </w:r>
    </w:p>
    <w:p>
      <w:pPr>
        <w:jc w:val="both"/>
        <w:rPr>
          <w:rFonts w:hint="default"/>
          <w:b w:val="0"/>
          <w:bCs w:val="0"/>
          <w:sz w:val="28"/>
          <w:szCs w:val="28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Ensure CloudFront distributions enforce HTTPS-only access for viewers.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Verify that all traffic from CloudFront distributions to the origin server is encrypted.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Enable Server Name Indication (SNI) for CloudFront distributions.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Enable failover for CloudFront distributions.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Use an Origin Access Identity (OAI) for CloudFront distributions.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Do not allow deprecated SSL/TLS protocols.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Configure a default root object for CloudFront distributions.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Use a custom SSL/TLS certificate for CloudFront distributions.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Associate CloudFront distributions with an AWS Web Application Firewall (WAF) web ACL.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Enable access logs for CloudFront distributions.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EBS (Elastic Block Store) Checklist:</w:t>
      </w:r>
    </w:p>
    <w:p>
      <w:pPr>
        <w:jc w:val="both"/>
        <w:rPr>
          <w:rFonts w:hint="default"/>
          <w:b w:val="0"/>
          <w:bCs w:val="0"/>
          <w:sz w:val="28"/>
          <w:szCs w:val="28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Encrypt your EBS volumes using AWS Key Management Service (KMS).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Implement AWS managed keys or bring your own key (BYOK) for encryption.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Use encrypted Amazon Machine Images (AMIs) for launching instances that require encrypted EBS volumes.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Utilize AWS Identity and Access Management (IAM) to control access to EBS resources.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Follow the principle of least privilege by granting only necessary permissions to users and roles.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Enable network-level encryption for data in transit using Amazon VPC traffic encryption.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Utilize Amazon CloudWatch to monitor EBS volume metrics.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Configure security groups to control inbound and outbound traffic to instances and EBS volumes.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Limit access to only necessary ports and protocols required for your applications.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Regularly review and update security group rules based on changing requirements.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VPC (Virtual Private Cloud) Checklist:</w:t>
      </w:r>
    </w:p>
    <w:p>
      <w:pPr>
        <w:jc w:val="both"/>
        <w:rPr>
          <w:rFonts w:hint="default"/>
          <w:b w:val="0"/>
          <w:bCs w:val="0"/>
          <w:sz w:val="28"/>
          <w:szCs w:val="28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Use AWS Identity and Access Management (IAM) to control access to your VPC and associated resources.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Design your VPC architecture with appropriate network segmentation using subnets, route tables, and security groups.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Implement the principle of least privilege by granting only necessary permissions to users and roles.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Enable VPC Flow Logs to capture information about IP traffic flowing in and out of your VPC.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r>
        <w:rPr>
          <w:rFonts w:hint="default"/>
          <w:b w:val="0"/>
          <w:bCs w:val="0"/>
          <w:sz w:val="20"/>
          <w:szCs w:val="20"/>
        </w:rPr>
        <w:t>Utilize security groups and network ACLs to control traffic flow between subnets and restrict access to VPC resources.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sym w:font="Wingdings" w:char="00FE"/>
      </w:r>
      <w:bookmarkStart w:id="0" w:name="_GoBack"/>
      <w:bookmarkEnd w:id="0"/>
      <w:r>
        <w:rPr>
          <w:rFonts w:hint="default"/>
          <w:b w:val="0"/>
          <w:bCs w:val="0"/>
          <w:sz w:val="20"/>
          <w:szCs w:val="20"/>
        </w:rPr>
        <w:t>Use secure protocols like SSL/TLS for traffic between clients and resources in the VPC.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414360"/>
    <w:rsid w:val="2441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2023-07-17T11:36:00Z</dcterms:created>
  <dc:creator>Vishal.Pathak</dc:creator>
  <cp:lastModifiedBy>Vishal Test</cp:lastModifiedBy>
  <dcterms:modified xsi:type="dcterms:W3CDTF">2023-07-17T11:46:16Z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E9F08254A4814434A8F78908BF12E996</vt:lpwstr>
  </property>
</Properties>
</file>