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eastAsia="zh"/>
        </w:rPr>
      </w:pPr>
      <w:r>
        <w:rPr>
          <w:rFonts w:hint="eastAsia"/>
          <w:lang w:eastAsia="zh"/>
        </w:rPr>
        <w:t>手写数字识别报告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一、选题背景和意义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手写数字识别技术能够自动化许多文档和数据输入过程，减少人工错误和提高效率。随着技术的发展，这一领域的应用越来越广泛，研究和改进手写数字识别算法的重要性也日益增加。在此基础上，探索新的数据集和改进模型的性能变得尤为重要。</w:t>
      </w:r>
    </w:p>
    <w:p>
      <w:pPr>
        <w:rPr>
          <w:rFonts w:hint="eastAsia"/>
          <w:lang w:eastAsia="zh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二、问题建模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手写体数字识别是一个典型的计算机视觉问题，主要涉及到图像中手写数字的检测和识别。这个问题可以通过监督学习方法来解决，其中模型被训练后用以从图像中识别出数字。这一任务不仅在技术领域内具有广泛的应用，如自动表单处理、银行支票处理等，还对机器学习和图像处理的教育研究具有重要意义。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数据集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我们使用的主要数据集是MNIST，一个包含70,000个手写数字图像的标准数据集。每个图像是一个28x28像素的灰度图像，表示数字0到9。同时，为丰富数据集，我们采取了反色处理，共计140,000个数据集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问题转换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课程要求包括将MNIST数据集中的白底黑字图像转换为黑底白字图像，并将这些转换后的图像与原图混合，形成一个新的数据集。这种变换是为了增加模型处理不同背景和颜色方案的能力，从而使模型更加健壮。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方法描述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使用 PaddlePaddle 实现手写数字识别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PaddlePaddle 是一个由百度开发的深度学习平台，它提供了丰富的API和工具来支持深度学习应用的开发。在手写数字识别任务中，我们可以利用 PaddlePaddle 来构建、训练和测试模型。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具体流程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1.数据预处理：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我们加载原始的MNIST数据集。为了实现数据的增强，满足课程要求，我们将图像的白底黑字转换为黑底白字，通常通过0减去原像素值实现。将原始和转换后的数据集混合，增加数据多样性。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2.构建模型：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使用卷积神经网络（CNN）进行模型构建。CNN 在图像识别任务中表现出色，因其能够捕捉图像中的局部特征。模型架构通常包含多个卷积层、激活层（如ReLU）、池化层以及最后的全连接层，这里我们考虑了vgg网络和lenet网络，对模型的激活函数，池化层，优化器，学习率，卷积层的安排，epoch以及batch-size做出了修改，最终目的是追求更高精度的预测结果。</w:t>
      </w:r>
    </w:p>
    <w:p>
      <w:pPr>
        <w:rPr>
          <w:rFonts w:hint="eastAsia"/>
          <w:lang w:eastAsia="zh"/>
        </w:rPr>
      </w:pPr>
      <w:r>
        <w:rPr>
          <w:rStyle w:val="17"/>
          <w:rFonts w:hint="eastAsia"/>
          <w:lang w:eastAsia="zh"/>
        </w:rPr>
        <w:t>3.模型训练</w:t>
      </w:r>
      <w:r>
        <w:rPr>
          <w:rFonts w:hint="eastAsia"/>
          <w:lang w:eastAsia="zh"/>
        </w:rPr>
        <w:t>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使用交叉熵损失函数进行模型的训练。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4.模型评估和调优：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在测试集上评估模型性能，以损失率和准确度作为最终的评判标准，根据结果反馈调整模型参数或结构。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5.可视化分析：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我们以控制变量作为原则，将我们得到的数据进行可视化分析，并对可视化的结果做出详细的阐释和讨论。</w:t>
      </w:r>
    </w:p>
    <w:p>
      <w:pPr>
        <w:rPr>
          <w:rFonts w:hint="eastAsia"/>
          <w:lang w:eastAsia="zh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对实验结果的分析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>对于不同参数的调整，我们统一采取控制变量的方法，对模型参数进行修改，通过表格和图形相结合的方式进行分析。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探究激活函数和池化层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常用的激活函数有sigmoid和relu，池化层有最大池化层和平均池化层。在Lenet网络中采用的是sigmoid激活函数和平均池化层，这里我们对这两个参数进行了修改，选取了epoch为2，batch-size为64，学习率为0.001等统一参数下进行测试与分析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loss函数的对比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下面是结果图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70500" cy="9067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838700" cy="250126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准确率的对比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下面是准确率的结果图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72405" cy="10287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838700" cy="2758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分析图表我们可以得到：最大池化层和relu函数分别优于平均池化层和relu函数，同时relu函数对精确度提升和loss的减少是要显著优于池化层的选择最大池化层。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这是因为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1池化层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主要用于卷积神经网络（CNN）中，其主要目的是减少数据的空间尺寸，从而减少参数数量和计算复杂性，同时还能提高特征检测的鲁棒性。常见的池化操作包括最大池化（Max Pooling）和平均池化（Average Pooling）：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最大池化：选择池化窗口中的最大值作为输出，这有助于突出重要的特征，通常能提高模型的表现，这有助于图像特性的提取，有利于识别不同图像之间的特征区别。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平均池化：计算池化窗口中所有值的平均，这有助于平滑特征表达。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2.激活函数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激活函数在神经网络中用于引入非线性，使得网络能够学习和表示复杂的数据模式。常用的激活函数包括：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Sigmoid函数：它将输入值压缩到0和1之间，通常用于输出层的二分类问题。然而，在隐藏层中使用Sigmoid可能导致梯度消失问题，这是因为其导数在输入值较大或较小时接近于零。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ReLU函数：线性整流函数（Rectified Linear Unit, ReLU）输出输入值的正部（如果输入为正则输出该值，否则输出0）。由于其计算简单且在正区间内梯度恒定，ReLU通常有助于加速神经网络的收敛，并减少梯度消失问题。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420" w:firstLineChars="20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网络中大量使用Sigmoid，可能会导致梯度消失，从而使训练过程中的loss下降缓慢。相反，ReLU通常能提供更快的收敛速度。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探究学习率参数：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查阅相关资料，我们得知常见的初始学习率范围通常在0.001到0.1之间。我们基于此设置学习率参数，并分析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损失函数对比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58152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 t="52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838700" cy="2758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准确率对比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619625" cy="121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t="588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838700" cy="2758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>分析结果我们可以发现学习率为0.001和0.005时，训练结果的loss和accuracy都显著的优于学习率为其他的情况，而当学习率高达0.015时，整个训练和测试结果都明显的变差了。查阅相关资料，这或许是因为此时0.015，</w:t>
      </w:r>
      <w:r>
        <w:rPr>
          <w:rFonts w:hint="default"/>
          <w:lang w:eastAsia="zh"/>
        </w:rPr>
        <w:t>学习率设置得过大，模型权重</w:t>
      </w:r>
      <w:r>
        <w:rPr>
          <w:rFonts w:hint="eastAsia"/>
          <w:lang w:eastAsia="zh"/>
        </w:rPr>
        <w:t>和偏置</w:t>
      </w:r>
      <w:r>
        <w:rPr>
          <w:rFonts w:hint="default"/>
          <w:lang w:eastAsia="zh"/>
        </w:rPr>
        <w:t>更新的步长会很大，这可能导致模型在训练过程中跳过最优解，导致模型无法收敛，从而降低精准度。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>我们还了解到</w:t>
      </w:r>
      <w:r>
        <w:rPr>
          <w:rFonts w:hint="default"/>
          <w:lang w:eastAsia="zh"/>
        </w:rPr>
        <w:t>如果学习率设置得过小，模型权重更新的步长会很小，虽然模型可能会收敛到最优解，但收敛速度会非常慢，且容易陷入局部最优解，同样会降低精准度。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>epoch</w:t>
      </w:r>
    </w:p>
    <w:p>
      <w:pPr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查阅资料可以得到，手写数字识别的数据集规模是中等数据集，epoch的合理范围为10到100，，基于此我们修改参数，进行训练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loss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69865" cy="109410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精确度：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73675" cy="61976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838700" cy="27584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我们发现，随着训练轮数的增加，loss逐渐降低，当训练轮数为50的时候，损失函数几乎已经接近于0了，我们结果的最高精确度出现在训练轮数为100的时候，达到了0.9911而当训练轮数为200时，精确地反而降低了。对于训练集，随着轮数的增加，准确度呈现了上升的趋势，这也是合理的。分析原因，如果epoch数过少比如只有2时，模型可能没有足够的时间学习数据，导致欠拟合。欠拟合的模型在训练数据和未见过的新数据上都表现不佳，这也使得精确度降低。相反，如果epoch数过多比如200轮时，模型可能会学习到数据中的噪声和非代表性特征，导致过拟合。过拟合的模型在训练数据上表现良好，但在新数据上表现较差，也就是最终的测试集精确度反而降低了。</w:t>
      </w:r>
    </w:p>
    <w:p>
      <w:pPr>
        <w:rPr>
          <w:rFonts w:hint="eastAsia"/>
          <w:lang w:eastAsia="zh"/>
        </w:rPr>
      </w:pPr>
    </w:p>
    <w:p>
      <w:pPr>
        <w:rPr>
          <w:rFonts w:hint="eastAsia"/>
          <w:lang w:eastAsia="zh"/>
        </w:rPr>
      </w:pP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batch_size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常见的batch_size设置为32、64或128。这些值是经验性的选择，可以提供良好的性能和训练速度的平衡，基于此我们设置了参数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loss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73675" cy="98171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937760" cy="2758440"/>
            <wp:effectExtent l="0" t="0" r="152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accuracy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73040" cy="984250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937760" cy="2758440"/>
            <wp:effectExtent l="0" t="0" r="152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分析结果我们发现，随着batch_size的逐渐提升，整体的损失函数和精确度都下降了，而最优的精确度和Loss出现在了batch-size为64的情况下。这是因较大的batch-size可能会使大批量可能无法充分捕捉到数据中的多样性，对于精确度有下降。而较小的batch-size通常具有更好的泛化能力，因为它们能够在每次更新时暴露给模型更多的数据多样性。然而理论上，较大的batch-size使模型在训练集上的性能更好，loss更低，然后结果中却并不是这样的表现，这或许于随机性有一定关系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网络的修改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修改：</w:t>
      </w:r>
    </w:p>
    <w:p>
      <w:pPr>
        <w:ind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第三个卷积层 (conv3):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输入通道数: 16（来自上一个卷积层的输出）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输出通道数: 32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卷积核大小: 3x3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步长: 1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填充: 1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这层之后跟着一个最大池化层，池化窗口为2x2，步长为2。这样的设置有助于进一步减小特征图的空间尺寸，增加特征的抽象程度。</w:t>
      </w:r>
    </w:p>
    <w:p>
      <w:pPr>
        <w:ind w:firstLine="420" w:firstLineChars="200"/>
        <w:rPr>
          <w:rFonts w:hint="eastAsia"/>
          <w:lang w:eastAsia="zh"/>
        </w:rPr>
      </w:pPr>
      <w:r>
        <w:rPr>
          <w:rFonts w:hint="eastAsia"/>
          <w:lang w:eastAsia="zh"/>
        </w:rPr>
        <w:t>第四个卷积层 (conv4):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输入通道数: 32（来自上一个卷积层的输出）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输出通道数: 64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卷积核大小: 3x3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步长: 1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填充: 1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与传统的LeNet-5不同，此层后面没有池化层。保留较大的特征图尺寸，可以为随后的全连接层提供更丰富的特征。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因此之后的第一个全连接层也做出了修改，输入的是256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69230" cy="975995"/>
            <wp:effectExtent l="0" t="0" r="762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最终的结果如上图所示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精确度最高：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Lenet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我们将batch设置为100，epoch设置为128，学习率为0.001，采用Adam优化器，采用最大池化层和relu激活函数，经过训练后得到的最高预测精度为0.9922，loss和acc的结果详见下表。</w:t>
      </w:r>
    </w:p>
    <w:p>
      <w:pPr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4314825" cy="847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"/>
        </w:rPr>
      </w:pPr>
      <w:r>
        <w:rPr>
          <w:rFonts w:hint="eastAsia"/>
          <w:lang w:eastAsia="zh"/>
        </w:rPr>
        <w:t>训练集的accu变化如下所示，结合训练的中间结果，我们可以得到epoch为43精确度发生了飞跃，之后的epoch的精确度并没有显著变化，这也可能是因为已经要达到50了</w:t>
      </w:r>
    </w:p>
    <w:p>
      <w:pPr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4076700" cy="25431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rcRect t="1129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4076700" cy="2524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rcRect t="1196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上图是测试集预测的精确度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训练集和测试集的损失函数变化如下图所示，随着训练轮数的增加，损失函数迅速下降。测试集的损失函数也达到了很小量级。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076700" cy="2514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rcRect t="1229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4076700" cy="25241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rcRect t="1196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VGG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VGG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batch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设为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256,epoch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设为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35,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学习率为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0.001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。得到了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0.9838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的预测精度。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VGG</w:t>
            </w: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最优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train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loss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0.0066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5.0889e-4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accu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0.9927</w:t>
            </w:r>
          </w:p>
        </w:tc>
        <w:tc>
          <w:tcPr>
            <w:tcW w:w="1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0.9838</w:t>
            </w:r>
          </w:p>
        </w:tc>
      </w:tr>
    </w:tbl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可以看到，训练精度上升很快，并且在第3个epoch接近上限。后续缓慢上升。</w:t>
      </w:r>
    </w:p>
    <w:p>
      <w:pPr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3636645" cy="2561590"/>
            <wp:effectExtent l="0" t="0" r="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"/>
        </w:rPr>
      </w:pPr>
      <w:r>
        <w:rPr>
          <w:rFonts w:hint="eastAsia"/>
          <w:lang w:eastAsia="zh"/>
        </w:rPr>
        <w:t>损失率也很快下降。</w:t>
      </w:r>
    </w:p>
    <w:p>
      <w:pPr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3677285" cy="2590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"/>
        </w:rPr>
      </w:pPr>
    </w:p>
    <w:p>
      <w:pPr>
        <w:rPr>
          <w:rFonts w:hint="default"/>
          <w:lang w:eastAsia="zh"/>
        </w:rPr>
      </w:pPr>
      <w:r>
        <w:rPr>
          <w:rFonts w:hint="eastAsia"/>
          <w:lang w:eastAsia="zh"/>
        </w:rPr>
        <w:t>可以看出，当参数设置合理时。VGG能用较少的训练轮数实现较高的准确度，处于效率和准确率的综合考虑下，训练轮数设置为20轮左右较好。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br w:type="textWrapping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分工以及分配比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余旺：代码书写，调参，模型修改，文档书写          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"/>
        </w:rPr>
        <w:t>%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吕伯华：代码书写，调参                            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"/>
        </w:rPr>
        <w:t xml:space="preserve"> %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常高林：调参， 文档书写                           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"/>
        </w:rPr>
        <w:t xml:space="preserve"> %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刘治岐：调参，数据处理，ppt                        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"/>
        </w:rPr>
        <w:t>%</w:t>
      </w:r>
    </w:p>
    <w:p>
      <w:pPr>
        <w:numPr>
          <w:ilvl w:val="0"/>
          <w:numId w:val="0"/>
        </w:numPr>
        <w:ind w:left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万守正：调参，数据处理，文档书写                   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"/>
        </w:rPr>
        <w:t xml:space="preserve">%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60E40"/>
    <w:multiLevelType w:val="singleLevel"/>
    <w:tmpl w:val="F7260E4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1AA24D9F"/>
    <w:rsid w:val="07011CC2"/>
    <w:rsid w:val="07644792"/>
    <w:rsid w:val="07EFB3C5"/>
    <w:rsid w:val="09284798"/>
    <w:rsid w:val="0F2B6FD9"/>
    <w:rsid w:val="183C240D"/>
    <w:rsid w:val="1AA24D9F"/>
    <w:rsid w:val="1CB5769E"/>
    <w:rsid w:val="1DFF1E8D"/>
    <w:rsid w:val="28DA2E89"/>
    <w:rsid w:val="2A4254F9"/>
    <w:rsid w:val="2D1F32F4"/>
    <w:rsid w:val="2DC21DC5"/>
    <w:rsid w:val="2E7330BF"/>
    <w:rsid w:val="2F3FD5C4"/>
    <w:rsid w:val="323B4D81"/>
    <w:rsid w:val="33FB8A21"/>
    <w:rsid w:val="34B70380"/>
    <w:rsid w:val="35F9506C"/>
    <w:rsid w:val="3AE174A3"/>
    <w:rsid w:val="3FFFDE5E"/>
    <w:rsid w:val="3FFFF587"/>
    <w:rsid w:val="43446334"/>
    <w:rsid w:val="44A84E71"/>
    <w:rsid w:val="477DCE1E"/>
    <w:rsid w:val="47F87B2F"/>
    <w:rsid w:val="4BBE3276"/>
    <w:rsid w:val="4EDFBC39"/>
    <w:rsid w:val="53F7ACDB"/>
    <w:rsid w:val="573E1E21"/>
    <w:rsid w:val="5AFF7F45"/>
    <w:rsid w:val="5B487E91"/>
    <w:rsid w:val="5BA04C44"/>
    <w:rsid w:val="5CF9550F"/>
    <w:rsid w:val="5EFEBDE8"/>
    <w:rsid w:val="5FF7ED27"/>
    <w:rsid w:val="67E67E83"/>
    <w:rsid w:val="68CA2609"/>
    <w:rsid w:val="68CC1AED"/>
    <w:rsid w:val="69BB0F42"/>
    <w:rsid w:val="6A637494"/>
    <w:rsid w:val="6BCF62E6"/>
    <w:rsid w:val="6CD3A16D"/>
    <w:rsid w:val="6D535020"/>
    <w:rsid w:val="6E5F49A6"/>
    <w:rsid w:val="6E5F54C9"/>
    <w:rsid w:val="6F7F8D11"/>
    <w:rsid w:val="6FB5456C"/>
    <w:rsid w:val="6FFD9173"/>
    <w:rsid w:val="6FFF37D2"/>
    <w:rsid w:val="6FFFF7C4"/>
    <w:rsid w:val="703A3B34"/>
    <w:rsid w:val="70DE2EF1"/>
    <w:rsid w:val="78F404C3"/>
    <w:rsid w:val="7BDFC53C"/>
    <w:rsid w:val="7BFF13A4"/>
    <w:rsid w:val="7C5F4108"/>
    <w:rsid w:val="7DF0E46B"/>
    <w:rsid w:val="7EDFB0FB"/>
    <w:rsid w:val="7F6FD6B5"/>
    <w:rsid w:val="7F79C282"/>
    <w:rsid w:val="7F7B6CAE"/>
    <w:rsid w:val="7F7B8AF5"/>
    <w:rsid w:val="7FBD5ADF"/>
    <w:rsid w:val="7FBF6DD0"/>
    <w:rsid w:val="7FCD17FE"/>
    <w:rsid w:val="7FCDAD7F"/>
    <w:rsid w:val="7FD7E9A0"/>
    <w:rsid w:val="7FE9FBB2"/>
    <w:rsid w:val="7FEB51C2"/>
    <w:rsid w:val="7FED638A"/>
    <w:rsid w:val="7FEF8C29"/>
    <w:rsid w:val="7FFF2B35"/>
    <w:rsid w:val="8FFFA67E"/>
    <w:rsid w:val="95FC6EDB"/>
    <w:rsid w:val="A8CF9616"/>
    <w:rsid w:val="A97F623E"/>
    <w:rsid w:val="ABF1A41A"/>
    <w:rsid w:val="ADBF54E5"/>
    <w:rsid w:val="AFAF005A"/>
    <w:rsid w:val="AFBF8780"/>
    <w:rsid w:val="AFCD0340"/>
    <w:rsid w:val="B1EB974E"/>
    <w:rsid w:val="B7F97DBE"/>
    <w:rsid w:val="BCFFE649"/>
    <w:rsid w:val="BDDF8194"/>
    <w:rsid w:val="BEEFCB4B"/>
    <w:rsid w:val="BF483E41"/>
    <w:rsid w:val="BFAFBAA5"/>
    <w:rsid w:val="BFE6F841"/>
    <w:rsid w:val="BFFE29A6"/>
    <w:rsid w:val="CDFE453D"/>
    <w:rsid w:val="D5DE8897"/>
    <w:rsid w:val="D5FB244C"/>
    <w:rsid w:val="D7FF3382"/>
    <w:rsid w:val="DC3EED9A"/>
    <w:rsid w:val="DF9740FC"/>
    <w:rsid w:val="DFAB6805"/>
    <w:rsid w:val="E77FC4E3"/>
    <w:rsid w:val="E7FE3684"/>
    <w:rsid w:val="E8735D05"/>
    <w:rsid w:val="EB7E0720"/>
    <w:rsid w:val="EEBEE069"/>
    <w:rsid w:val="EFFF70E4"/>
    <w:rsid w:val="F1EFA468"/>
    <w:rsid w:val="F6EE2529"/>
    <w:rsid w:val="F7EEC240"/>
    <w:rsid w:val="F86FF24D"/>
    <w:rsid w:val="FAEECD0D"/>
    <w:rsid w:val="FB9D1B43"/>
    <w:rsid w:val="FBF75102"/>
    <w:rsid w:val="FCED63DB"/>
    <w:rsid w:val="FD5FC43E"/>
    <w:rsid w:val="FD8FDCD5"/>
    <w:rsid w:val="FDDB8A55"/>
    <w:rsid w:val="FDDC5620"/>
    <w:rsid w:val="FDEA700A"/>
    <w:rsid w:val="FDFD99D4"/>
    <w:rsid w:val="FFBFCE42"/>
    <w:rsid w:val="FFD583C0"/>
    <w:rsid w:val="FFEB0417"/>
    <w:rsid w:val="FFF79D42"/>
    <w:rsid w:val="FFFC0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3 Char"/>
    <w:link w:val="4"/>
    <w:uiPriority w:val="0"/>
    <w:rPr>
      <w:rFonts w:ascii="Arial" w:hAnsi="Arial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2018-05-31T09:24:00Z</dcterms:created>
  <dc:creator>29741</dc:creator>
  <cp:lastModifiedBy>墨髯</cp:lastModifiedBy>
  <dcterms:modified xsi:type="dcterms:W3CDTF">2024-06-08T07:10:14Z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E17F1C919E844901A988AD09CF7F57CE_13</vt:lpwstr>
  </property>
</Properties>
</file>