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1524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571500"/>
                    </a:xfrm>
                    <a:prstGeom prst="rect">
                      <a:avLst/>
                    </a:prstGeom>
                  </pic:spPr>
                </pic:pic>
              </a:graphicData>
            </a:graphic>
          </wp:inline>
        </w:drawing>
      </w:r>
    </w:p>
    <w:p>
      <w:pPr>
        <w:pBdr>
          <w:bottom w:val="single" w:color="D32F2F" w:sz="12"/>
        </w:pBdr>
        <w:spacing w:after="280" w:before="0"/>
      </w:pPr>
      <w:r>
        <w:rPr>
          <w:rFonts w:ascii="Calibri" w:cs="Calibri" w:eastAsia="Calibri" w:hAnsi="Calibri"/>
          <w:sz w:val="22"/>
          <w:szCs w:val="22"/>
        </w:rPr>
        <w:t xml:space="preserve"/>
      </w:r>
    </w:p>
    <w:p>
      <w:pPr>
        <w:spacing w:after="40" w:before="80" w:line="276"/>
        <w:jc w:val="both"/>
      </w:pPr>
      <w:r>
        <w:rPr>
          <w:rFonts w:ascii="Calibri" w:cs="Calibri" w:eastAsia="Calibri" w:hAnsi="Calibri"/>
          <w:b/>
          <w:bCs/>
          <w:color w:val="1B3A6B"/>
          <w:sz w:val="18"/>
          <w:szCs w:val="18"/>
        </w:rPr>
        <w:t xml:space="preserve">PROPOSAL FOR</w:t>
      </w:r>
    </w:p>
    <w:p>
      <w:pPr>
        <w:spacing w:after="60" w:before="0"/>
      </w:pPr>
      <w:r>
        <w:rPr>
          <w:rFonts w:ascii="Calibri" w:cs="Calibri" w:eastAsia="Calibri" w:hAnsi="Calibri"/>
          <w:b/>
          <w:bCs/>
          <w:color w:val="1B3A6B"/>
          <w:sz w:val="36"/>
          <w:szCs w:val="36"/>
        </w:rPr>
        <w:t xml:space="preserve">Web Application Penetration Testing (WAPT)</w:t>
      </w:r>
    </w:p>
    <w:p>
      <w:pPr>
        <w:spacing w:after="100" w:before="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Prepared for</w:t>
            </w:r>
          </w:p>
        </w:tc>
        <w:tc>
          <w:tcPr>
            <w:tcW w:type="dxa" w:w="67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[CLIENT NAME]</w:t>
            </w:r>
          </w:p>
        </w:tc>
      </w:tr>
      <w:tr>
        <w:tc>
          <w:tcPr>
            <w:tcW w:type="dxa" w:w="26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Engagement Type</w:t>
            </w:r>
          </w:p>
        </w:tc>
        <w:tc>
          <w:tcPr>
            <w:tcW w:type="dxa" w:w="67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color w:val="000000"/>
                <w:sz w:val="20"/>
                <w:szCs w:val="20"/>
              </w:rPr>
              <w:t xml:space="preserve">Web Application Penetration Testing (WAPT)</w:t>
            </w:r>
          </w:p>
        </w:tc>
      </w:tr>
      <w:tr>
        <w:tc>
          <w:tcPr>
            <w:tcW w:type="dxa" w:w="26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Prepared by</w:t>
            </w:r>
          </w:p>
        </w:tc>
        <w:tc>
          <w:tcPr>
            <w:tcW w:type="dxa" w:w="67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color w:val="000000"/>
                <w:sz w:val="20"/>
                <w:szCs w:val="20"/>
              </w:rPr>
              <w:t xml:space="preserve">Prime Infoserv Private Limited</w:t>
            </w:r>
          </w:p>
        </w:tc>
      </w:tr>
      <w:tr>
        <w:tc>
          <w:tcPr>
            <w:tcW w:type="dxa" w:w="26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GSTIN</w:t>
            </w:r>
          </w:p>
        </w:tc>
        <w:tc>
          <w:tcPr>
            <w:tcW w:type="dxa" w:w="67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color w:val="000000"/>
                <w:sz w:val="20"/>
                <w:szCs w:val="20"/>
              </w:rPr>
              <w:t xml:space="preserve">19AAPCP3814K1ZW</w:t>
            </w:r>
          </w:p>
        </w:tc>
      </w:tr>
      <w:tr>
        <w:tc>
          <w:tcPr>
            <w:tcW w:type="dxa" w:w="26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Date</w:t>
            </w:r>
          </w:p>
        </w:tc>
        <w:tc>
          <w:tcPr>
            <w:tcW w:type="dxa" w:w="67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[DATE]</w:t>
            </w:r>
          </w:p>
        </w:tc>
      </w:tr>
    </w:tbl>
    <w:p>
      <w:pPr>
        <w:spacing w:after="300" w:before="0"/>
      </w:pPr>
      <w:r>
        <w:rPr>
          <w:rFonts w:ascii="Calibri" w:cs="Calibri" w:eastAsia="Calibri" w:hAnsi="Calibri"/>
          <w:sz w:val="22"/>
          <w:szCs w:val="22"/>
        </w:rPr>
        <w:t xml:space="preserve"/>
      </w:r>
    </w:p>
    <w:p>
      <w:pPr>
        <w:jc w:val="center"/>
      </w:pPr>
      <w:r>
        <w:rPr>
          <w:rFonts w:ascii="Calibri" w:cs="Calibri" w:eastAsia="Calibri" w:hAnsi="Calibri"/>
          <w:color w:val="1B3A6B"/>
          <w:sz w:val="20"/>
          <w:szCs w:val="20"/>
        </w:rPr>
        <w:t xml:space="preserve">Our Expertise, Your Shield</w:t>
      </w:r>
    </w:p>
    <w:p>
      <w:pPr>
        <w:jc w:val="center"/>
      </w:pPr>
      <w:r>
        <w:rPr>
          <w:rFonts w:ascii="Calibri" w:cs="Calibri" w:eastAsia="Calibri" w:hAnsi="Calibri"/>
          <w:color w:val="6B7280"/>
          <w:sz w:val="18"/>
          <w:szCs w:val="18"/>
        </w:rPr>
        <w:t xml:space="preserve">www.primeinfoserv.com</w:t>
      </w:r>
    </w:p>
    <w:p>
      <w:r>
        <w:br/>
      </w:r>
    </w:p>
    <w:p>
      <w:pPr>
        <w:pBdr>
          <w:bottom w:val="single" w:color="1B3A6B" w:sz="8"/>
        </w:pBdr>
        <w:spacing w:after="100" w:before="280"/>
      </w:pPr>
      <w:r>
        <w:rPr>
          <w:rFonts w:ascii="Calibri" w:cs="Calibri" w:eastAsia="Calibri" w:hAnsi="Calibri"/>
          <w:b/>
          <w:bCs/>
          <w:color w:val="1B3A6B"/>
          <w:sz w:val="28"/>
          <w:szCs w:val="28"/>
        </w:rPr>
        <w:t xml:space="preserve">1.  Statement of Confidentiality</w:t>
      </w:r>
    </w:p>
    <w:p>
      <w:pPr>
        <w:spacing w:after="80" w:before="80" w:line="276"/>
        <w:jc w:val="both"/>
      </w:pPr>
      <w:r>
        <w:rPr>
          <w:rFonts w:ascii="Calibri" w:cs="Calibri" w:eastAsia="Calibri" w:hAnsi="Calibri"/>
          <w:sz w:val="22"/>
          <w:szCs w:val="22"/>
        </w:rPr>
        <w:t xml:space="preserve">This proposal has been prepared by Prime Infoserv Private Limited exclusively for [CLIENT NAME] and contains proprietary commercial and technical information. The contents — including methodology, pricing, team structure, and engagement approach — are confidential and intended solely for the authorised representatives of [CLIENT NAME].</w:t>
      </w:r>
    </w:p>
    <w:p>
      <w:pPr>
        <w:spacing w:after="80" w:before="80" w:line="276"/>
        <w:jc w:val="both"/>
      </w:pPr>
      <w:r>
        <w:rPr>
          <w:rFonts w:ascii="Calibri" w:cs="Calibri" w:eastAsia="Calibri" w:hAnsi="Calibri"/>
          <w:sz w:val="22"/>
          <w:szCs w:val="22"/>
        </w:rPr>
        <w:t xml:space="preserve">This document may not be reproduced, distributed, or disclosed to any third party without prior written consent of Prime Infoserv Private Limited.</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2.  Acknowledgment</w:t>
      </w:r>
    </w:p>
    <w:p>
      <w:pPr>
        <w:spacing w:after="80" w:before="80" w:line="276"/>
        <w:jc w:val="both"/>
      </w:pPr>
      <w:r>
        <w:rPr>
          <w:rFonts w:ascii="Calibri" w:cs="Calibri" w:eastAsia="Calibri" w:hAnsi="Calibri"/>
          <w:sz w:val="22"/>
          <w:szCs w:val="22"/>
        </w:rPr>
        <w:t xml:space="preserve">Prime Infoserv acknowledges the requirements shared by [CLIENT NAME] for the security assessment of [APPLICATION NAME / SCOPE]. This proposal is based on information provided during pre-engagement discussions and the scope details confirmed by [CLIENT NAME].</w:t>
      </w:r>
    </w:p>
    <w:p>
      <w:pPr>
        <w:spacing w:after="80" w:before="80" w:line="276"/>
        <w:jc w:val="both"/>
      </w:pPr>
      <w:r>
        <w:rPr>
          <w:rFonts w:ascii="Calibri" w:cs="Calibri" w:eastAsia="Calibri" w:hAnsi="Calibri"/>
          <w:sz w:val="22"/>
          <w:szCs w:val="22"/>
        </w:rPr>
        <w:t xml:space="preserve">We confirm that Prime Infoserv Private Limited holds the necessary certifications, expertise, and operational capacity to deliver this engagement.</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3.  Disclaimer</w:t>
      </w:r>
    </w:p>
    <w:p>
      <w:pPr>
        <w:spacing w:after="80" w:before="80" w:line="276"/>
        <w:jc w:val="both"/>
      </w:pPr>
      <w:r>
        <w:rPr>
          <w:rFonts w:ascii="Calibri" w:cs="Calibri" w:eastAsia="Calibri" w:hAnsi="Calibri"/>
          <w:sz w:val="22"/>
          <w:szCs w:val="22"/>
        </w:rPr>
        <w:t xml:space="preserve">Web application penetration tests are point-in-time assessments. Application changes, new feature deployments, or third-party library updates after the testing window may introduce new vulnerabilities not covered by this report.</w:t>
      </w:r>
    </w:p>
    <w:p>
      <w:pPr>
        <w:spacing w:after="80" w:before="80" w:line="276"/>
        <w:jc w:val="both"/>
      </w:pPr>
      <w:r>
        <w:rPr>
          <w:rFonts w:ascii="Calibri" w:cs="Calibri" w:eastAsia="Calibri" w:hAnsi="Calibri"/>
          <w:sz w:val="22"/>
          <w:szCs w:val="22"/>
        </w:rPr>
        <w:t xml:space="preserve">All testing will be conducted within the agreed scope and rules of engagement. Testing will be performed on the agreed environment (staging / production as specified). Production testing requires separate written approval from the client's authorised representative.</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4.  Executive Summary</w:t>
      </w:r>
    </w:p>
    <w:p>
      <w:pPr>
        <w:spacing w:after="80" w:before="80" w:line="276"/>
        <w:jc w:val="both"/>
      </w:pPr>
      <w:r>
        <w:rPr>
          <w:rFonts w:ascii="Calibri" w:cs="Calibri" w:eastAsia="Calibri" w:hAnsi="Calibri"/>
          <w:sz w:val="22"/>
          <w:szCs w:val="22"/>
        </w:rPr>
        <w:t xml:space="preserve">[CLIENT NAME] has engaged Prime Infoserv Private Limited to conduct a Web Application Penetration Test (WAPT) covering [APPLICATION NAME(S)]. The assessment follows the OWASP Testing Guide v4.2 and covers all OWASP TOP 10 (2021) categories as a minimum, with additional testing for business logic flaws and application-specific attack vectors.</w:t>
      </w:r>
    </w:p>
    <w:p>
      <w:pPr>
        <w:spacing w:after="80" w:before="80" w:line="276"/>
        <w:jc w:val="both"/>
      </w:pPr>
      <w:r>
        <w:rPr>
          <w:rFonts w:ascii="Calibri" w:cs="Calibri" w:eastAsia="Calibri" w:hAnsi="Calibri"/>
          <w:sz w:val="22"/>
          <w:szCs w:val="22"/>
        </w:rPr>
        <w:t xml:space="preserve">Prime Infoserv is a CERT-In empanelled security auditor, ISO 9001:2015 and ISO 27001:2013 certified. Every finding is manually verified, tested across all relevant user roles, and accompanied by specific remediation guidance tied to the application's technology stack.</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5.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Client</w:t>
            </w:r>
          </w:p>
        </w:tc>
        <w:tc>
          <w:tcPr>
            <w:tcW w:type="dxa" w:w="61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[CLIENT NAME]</w:t>
            </w:r>
          </w:p>
        </w:tc>
      </w:tr>
      <w:tr>
        <w:tc>
          <w:tcPr>
            <w:tcW w:type="dxa" w:w="320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Application(s) in Scope</w:t>
            </w:r>
          </w:p>
        </w:tc>
        <w:tc>
          <w:tcPr>
            <w:tcW w:type="dxa" w:w="616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[APPLICATION NAME(S)]</w:t>
            </w:r>
          </w:p>
        </w:tc>
      </w:tr>
      <w:tr>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Technology Stack</w:t>
            </w:r>
          </w:p>
        </w:tc>
        <w:tc>
          <w:tcPr>
            <w:tcW w:type="dxa" w:w="61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[TECH STACK — e.g., Django/React, Java/Angular, PHP/MySQL]</w:t>
            </w:r>
          </w:p>
        </w:tc>
      </w:tr>
      <w:tr>
        <w:tc>
          <w:tcPr>
            <w:tcW w:type="dxa" w:w="320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Testing Type</w:t>
            </w:r>
          </w:p>
        </w:tc>
        <w:tc>
          <w:tcPr>
            <w:tcW w:type="dxa" w:w="616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[Black Box / Grey Box / White Box]</w:t>
            </w:r>
          </w:p>
        </w:tc>
      </w:tr>
      <w:tr>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Testing Environment</w:t>
            </w:r>
          </w:p>
        </w:tc>
        <w:tc>
          <w:tcPr>
            <w:tcW w:type="dxa" w:w="61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[Production / Staging / Pre-production]</w:t>
            </w:r>
          </w:p>
        </w:tc>
      </w:tr>
      <w:tr>
        <w:tc>
          <w:tcPr>
            <w:tcW w:type="dxa" w:w="320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User Roles in Scope</w:t>
            </w:r>
          </w:p>
        </w:tc>
        <w:tc>
          <w:tcPr>
            <w:tcW w:type="dxa" w:w="616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color w:val="92400E"/>
                <w:sz w:val="20"/>
                <w:szCs w:val="20"/>
              </w:rPr>
              <w:t xml:space="preserve">[LIST ROLES — e.g., Admin, User, Guest, Manager]</w:t>
            </w:r>
          </w:p>
        </w:tc>
      </w:tr>
      <w:tr>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Delivery Mode</w:t>
            </w:r>
          </w:p>
        </w:tc>
        <w:tc>
          <w:tcPr>
            <w:tcW w:type="dxa" w:w="61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000000"/>
                <w:sz w:val="20"/>
                <w:szCs w:val="20"/>
              </w:rPr>
              <w:t xml:space="preserve">Remote</w:t>
            </w:r>
          </w:p>
        </w:tc>
      </w:tr>
      <w:tr>
        <w:tc>
          <w:tcPr>
            <w:tcW w:type="dxa" w:w="320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20"/>
                <w:szCs w:val="20"/>
              </w:rPr>
              <w:t xml:space="preserve">Prepared by</w:t>
            </w:r>
          </w:p>
        </w:tc>
        <w:tc>
          <w:tcPr>
            <w:tcW w:type="dxa" w:w="6160"/>
            <w:tcBorders>
              <w:top w:val="single" w:color="D1D5DB" w:sz="4"/>
              <w:left w:val="single" w:color="D1D5DB" w:sz="4"/>
              <w:bottom w:val="single" w:color="D1D5DB" w:sz="4"/>
              <w:right w:val="single" w:color="D1D5DB" w:sz="4"/>
            </w:tcBorders>
            <w:tcMar>
              <w:top w:type="dxa" w:w="80"/>
              <w:left w:type="dxa" w:w="140"/>
              <w:bottom w:type="dxa" w:w="80"/>
              <w:right w:type="dxa" w:w="140"/>
            </w:tcMar>
            <w:vAlign w:val="center"/>
          </w:tcPr>
          <w:p>
            <w:pPr>
              <w:spacing w:after="0" w:before="0"/>
              <w:jc w:val="left"/>
            </w:pPr>
            <w:r>
              <w:rPr>
                <w:rFonts w:ascii="Calibri" w:cs="Calibri" w:eastAsia="Calibri" w:hAnsi="Calibri"/>
                <w:color w:val="000000"/>
                <w:sz w:val="20"/>
                <w:szCs w:val="20"/>
              </w:rPr>
              <w:t xml:space="preserve">Prime Infoserv Private Limited</w:t>
            </w:r>
          </w:p>
        </w:tc>
      </w:tr>
    </w:tbl>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6.  Project Objectives</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Identify security vulnerabilities across all in-scope web application(s) before they can be exploited</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Test all defined user roles for access control weaknesses, privilege escalation, and IDOR vulnerabilities</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Assess the application against the OWASP TOP 10 (2021) framework in full</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Evaluate business logic flaws specific to the application's workflows and functions</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Identify API security weaknesses in all exposed backend endpoints</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Provide specific, actionable remediation steps tied to the application's technology stack</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Support compliance with applicable regulatory requirements (CERT-In / RBI / SEBI / ISO 27001 / DPDPA — as applicable)</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7.  Expected Benefits</w:t>
      </w:r>
    </w:p>
    <w:p>
      <w:pPr>
        <w:pStyle w:val="ListParagraph"/>
        <w:numPr>
          <w:ilvl w:val="0"/>
          <w:numId w:val="2"/>
        </w:numPr>
        <w:spacing w:after="40" w:before="40"/>
      </w:pPr>
      <w:r>
        <w:rPr>
          <w:rFonts w:ascii="Calibri" w:cs="Calibri" w:eastAsia="Calibri" w:hAnsi="Calibri"/>
          <w:b/>
          <w:bCs/>
          <w:color w:val="1B3A6B"/>
          <w:sz w:val="20"/>
          <w:szCs w:val="20"/>
        </w:rPr>
        <w:t xml:space="preserve">Risk Reduction: </w:t>
      </w:r>
      <w:r>
        <w:rPr>
          <w:rFonts w:ascii="Calibri" w:cs="Calibri" w:eastAsia="Calibri" w:hAnsi="Calibri"/>
          <w:color w:val="333333"/>
          <w:sz w:val="20"/>
          <w:szCs w:val="20"/>
        </w:rPr>
        <w:t xml:space="preserve">Reduced risk exposure — vulnerabilities found and fixed before going to production or exploitation</w:t>
      </w:r>
    </w:p>
    <w:p>
      <w:pPr>
        <w:pStyle w:val="ListParagraph"/>
        <w:numPr>
          <w:ilvl w:val="0"/>
          <w:numId w:val="2"/>
        </w:numPr>
        <w:spacing w:after="40" w:before="40"/>
      </w:pPr>
      <w:r>
        <w:rPr>
          <w:rFonts w:ascii="Calibri" w:cs="Calibri" w:eastAsia="Calibri" w:hAnsi="Calibri"/>
          <w:b/>
          <w:bCs/>
          <w:color w:val="1B3A6B"/>
          <w:sz w:val="20"/>
          <w:szCs w:val="20"/>
        </w:rPr>
        <w:t xml:space="preserve">Coverage: </w:t>
      </w:r>
      <w:r>
        <w:rPr>
          <w:rFonts w:ascii="Calibri" w:cs="Calibri" w:eastAsia="Calibri" w:hAnsi="Calibri"/>
          <w:color w:val="333333"/>
          <w:sz w:val="20"/>
          <w:szCs w:val="20"/>
        </w:rPr>
        <w:t xml:space="preserve">OWASP-aligned assessment — full TOP 10 (2021) coverage with checklist evidence</w:t>
      </w:r>
    </w:p>
    <w:p>
      <w:pPr>
        <w:pStyle w:val="ListParagraph"/>
        <w:numPr>
          <w:ilvl w:val="0"/>
          <w:numId w:val="2"/>
        </w:numPr>
        <w:spacing w:after="40" w:before="40"/>
      </w:pPr>
      <w:r>
        <w:rPr>
          <w:rFonts w:ascii="Calibri" w:cs="Calibri" w:eastAsia="Calibri" w:hAnsi="Calibri"/>
          <w:b/>
          <w:bCs/>
          <w:color w:val="1B3A6B"/>
          <w:sz w:val="20"/>
          <w:szCs w:val="20"/>
        </w:rPr>
        <w:t xml:space="preserve">Depth: </w:t>
      </w:r>
      <w:r>
        <w:rPr>
          <w:rFonts w:ascii="Calibri" w:cs="Calibri" w:eastAsia="Calibri" w:hAnsi="Calibri"/>
          <w:color w:val="333333"/>
          <w:sz w:val="20"/>
          <w:szCs w:val="20"/>
        </w:rPr>
        <w:t xml:space="preserve">Role-specific findings — every user role tested separately, not just admin and user</w:t>
      </w:r>
    </w:p>
    <w:p>
      <w:pPr>
        <w:pStyle w:val="ListParagraph"/>
        <w:numPr>
          <w:ilvl w:val="0"/>
          <w:numId w:val="2"/>
        </w:numPr>
        <w:spacing w:after="40" w:before="40"/>
      </w:pPr>
      <w:r>
        <w:rPr>
          <w:rFonts w:ascii="Calibri" w:cs="Calibri" w:eastAsia="Calibri" w:hAnsi="Calibri"/>
          <w:b/>
          <w:bCs/>
          <w:color w:val="1B3A6B"/>
          <w:sz w:val="20"/>
          <w:szCs w:val="20"/>
        </w:rPr>
        <w:t xml:space="preserve">Actionable: </w:t>
      </w:r>
      <w:r>
        <w:rPr>
          <w:rFonts w:ascii="Calibri" w:cs="Calibri" w:eastAsia="Calibri" w:hAnsi="Calibri"/>
          <w:color w:val="333333"/>
          <w:sz w:val="20"/>
          <w:szCs w:val="20"/>
        </w:rPr>
        <w:t xml:space="preserve">Technology-specific fixes — remediation written for the actual stack, not generic guidance</w:t>
      </w:r>
    </w:p>
    <w:p>
      <w:pPr>
        <w:pStyle w:val="ListParagraph"/>
        <w:numPr>
          <w:ilvl w:val="0"/>
          <w:numId w:val="2"/>
        </w:numPr>
        <w:spacing w:after="40" w:before="40"/>
      </w:pPr>
      <w:r>
        <w:rPr>
          <w:rFonts w:ascii="Calibri" w:cs="Calibri" w:eastAsia="Calibri" w:hAnsi="Calibri"/>
          <w:b/>
          <w:bCs/>
          <w:color w:val="1B3A6B"/>
          <w:sz w:val="20"/>
          <w:szCs w:val="20"/>
        </w:rPr>
        <w:t xml:space="preserve">Support: </w:t>
      </w:r>
      <w:r>
        <w:rPr>
          <w:rFonts w:ascii="Calibri" w:cs="Calibri" w:eastAsia="Calibri" w:hAnsi="Calibri"/>
          <w:color w:val="333333"/>
          <w:sz w:val="20"/>
          <w:szCs w:val="20"/>
        </w:rPr>
        <w:t xml:space="preserve">30-day post-delivery support — query resolution on any finding at no additional charge</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8.  Scope of Engagement</w:t>
      </w:r>
    </w:p>
    <w:p>
      <w:pPr>
        <w:shd w:fill="FFF3CD" w:val="clear"/>
        <w:spacing w:after="80" w:before="80"/>
      </w:pPr>
      <w:r>
        <w:rPr>
          <w:rFonts w:ascii="Calibri" w:cs="Calibri" w:eastAsia="Calibri" w:hAnsi="Calibri"/>
          <w:b/>
          <w:bCs/>
          <w:color w:val="92400E"/>
          <w:sz w:val="22"/>
          <w:szCs w:val="22"/>
        </w:rPr>
        <w:t xml:space="preserve">[  TO BE FILLED — Application URLs, number of pages, roles, forms, APIs, environments  ]</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9.  Deliverables</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Executive Summary Report — application security posture overview for management</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Detailed Technical Report — OWASP TOP 10 (2021) coverage, business logic findings, auth/session issues, API vulnerabilities — all with evidence, CVSS scores, and fix guidance</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OWASP Coverage Matrix — checklist confirming every OWASP TOP 10 category was tested with outcome per category</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Risk Priority Matrix — findings by severity (Critical / High / Medium / Low) with remediation order</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30-day post-delivery support — query resolution on any finding at no additional charge</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10.  Approach &amp; Methodology</w:t>
      </w:r>
    </w:p>
    <w:p>
      <w:pPr>
        <w:spacing w:after="80" w:before="80" w:line="276"/>
        <w:jc w:val="both"/>
      </w:pPr>
      <w:r>
        <w:rPr>
          <w:rFonts w:ascii="Calibri" w:cs="Calibri" w:eastAsia="Calibri" w:hAnsi="Calibri"/>
          <w:sz w:val="22"/>
          <w:szCs w:val="22"/>
        </w:rPr>
        <w:t xml:space="preserve">Prime Infoserv follows the OWASP Testing Guide v4.2 as the primary framework, covering all OWASP TOP 10 (2021) categories as a minimum, with additional testing for business logic and application-specific attack vectors.</w:t>
      </w:r>
    </w:p>
    <w:p>
      <w:pPr>
        <w:spacing w:after="60" w:before="160"/>
      </w:pPr>
      <w:r>
        <w:rPr>
          <w:rFonts w:ascii="Calibri" w:cs="Calibri" w:eastAsia="Calibri" w:hAnsi="Calibri"/>
          <w:b/>
          <w:bCs/>
          <w:color w:val="1B3A6B"/>
          <w:sz w:val="22"/>
          <w:szCs w:val="22"/>
        </w:rPr>
        <w:t xml:space="preserve">Phase 1 — Reconnaissance &amp; Mapping</w:t>
      </w:r>
    </w:p>
    <w:p>
      <w:pPr>
        <w:spacing w:after="80" w:before="60" w:line="276"/>
        <w:jc w:val="both"/>
      </w:pPr>
      <w:r>
        <w:rPr>
          <w:rFonts w:ascii="Calibri" w:cs="Calibri" w:eastAsia="Calibri" w:hAnsi="Calibri"/>
          <w:sz w:val="22"/>
          <w:szCs w:val="22"/>
        </w:rPr>
        <w:t xml:space="preserve">Application crawling, technology fingerprinting, endpoint enumeration, authentication mechanism analysis, and input surface mapping across all in-scope pages and APIs.</w:t>
      </w:r>
    </w:p>
    <w:p>
      <w:pPr>
        <w:spacing w:after="60" w:before="160"/>
      </w:pPr>
      <w:r>
        <w:rPr>
          <w:rFonts w:ascii="Calibri" w:cs="Calibri" w:eastAsia="Calibri" w:hAnsi="Calibri"/>
          <w:b/>
          <w:bCs/>
          <w:color w:val="1B3A6B"/>
          <w:sz w:val="22"/>
          <w:szCs w:val="22"/>
        </w:rPr>
        <w:t xml:space="preserve">Phase 2 — Automated Scanning</w:t>
      </w:r>
    </w:p>
    <w:p>
      <w:pPr>
        <w:spacing w:after="80" w:before="60" w:line="276"/>
        <w:jc w:val="both"/>
      </w:pPr>
      <w:r>
        <w:rPr>
          <w:rFonts w:ascii="Calibri" w:cs="Calibri" w:eastAsia="Calibri" w:hAnsi="Calibri"/>
          <w:sz w:val="22"/>
          <w:szCs w:val="22"/>
        </w:rPr>
        <w:t xml:space="preserve">DAST scanning using Burp Suite Professional and OWASP ZAP, followed by manual triage. Automated findings not manually verified are excluded from the report.</w:t>
      </w:r>
    </w:p>
    <w:p>
      <w:pPr>
        <w:spacing w:after="60" w:before="160"/>
      </w:pPr>
      <w:r>
        <w:rPr>
          <w:rFonts w:ascii="Calibri" w:cs="Calibri" w:eastAsia="Calibri" w:hAnsi="Calibri"/>
          <w:b/>
          <w:bCs/>
          <w:color w:val="1B3A6B"/>
          <w:sz w:val="22"/>
          <w:szCs w:val="22"/>
        </w:rPr>
        <w:t xml:space="preserve">Phase 3 — Manual Testing</w:t>
      </w:r>
    </w:p>
    <w:p>
      <w:pPr>
        <w:spacing w:after="80" w:before="60" w:line="276"/>
        <w:jc w:val="both"/>
      </w:pPr>
      <w:r>
        <w:rPr>
          <w:rFonts w:ascii="Calibri" w:cs="Calibri" w:eastAsia="Calibri" w:hAnsi="Calibri"/>
          <w:sz w:val="22"/>
          <w:szCs w:val="22"/>
        </w:rPr>
        <w:t xml:space="preserve">Authenticated and unauthenticated testing across all defined user roles. Covers OWASP TOP 10, business logic flaws, IDOR, authentication bypass, session management, API security, and client-side vulnerabilities.</w:t>
      </w:r>
    </w:p>
    <w:p>
      <w:pPr>
        <w:spacing w:after="60" w:before="160"/>
      </w:pPr>
      <w:r>
        <w:rPr>
          <w:rFonts w:ascii="Calibri" w:cs="Calibri" w:eastAsia="Calibri" w:hAnsi="Calibri"/>
          <w:b/>
          <w:bCs/>
          <w:color w:val="1B3A6B"/>
          <w:sz w:val="22"/>
          <w:szCs w:val="22"/>
        </w:rPr>
        <w:t xml:space="preserve">Phase 4 — Exploitation</w:t>
      </w:r>
    </w:p>
    <w:p>
      <w:pPr>
        <w:spacing w:after="80" w:before="60" w:line="276"/>
        <w:jc w:val="both"/>
      </w:pPr>
      <w:r>
        <w:rPr>
          <w:rFonts w:ascii="Calibri" w:cs="Calibri" w:eastAsia="Calibri" w:hAnsi="Calibri"/>
          <w:sz w:val="22"/>
          <w:szCs w:val="22"/>
        </w:rPr>
        <w:t xml:space="preserve">Controlled exploitation of confirmed findings — SQL injection, XSS execution, authentication bypass — to demonstrate actual impact within the application's context.</w:t>
      </w:r>
    </w:p>
    <w:p>
      <w:pPr>
        <w:spacing w:after="60" w:before="160"/>
      </w:pPr>
      <w:r>
        <w:rPr>
          <w:rFonts w:ascii="Calibri" w:cs="Calibri" w:eastAsia="Calibri" w:hAnsi="Calibri"/>
          <w:b/>
          <w:bCs/>
          <w:color w:val="1B3A6B"/>
          <w:sz w:val="22"/>
          <w:szCs w:val="22"/>
        </w:rPr>
        <w:t xml:space="preserve">Phase 5 — Reporting</w:t>
      </w:r>
    </w:p>
    <w:p>
      <w:pPr>
        <w:spacing w:after="80" w:before="60" w:line="276"/>
        <w:jc w:val="both"/>
      </w:pPr>
      <w:r>
        <w:rPr>
          <w:rFonts w:ascii="Calibri" w:cs="Calibri" w:eastAsia="Calibri" w:hAnsi="Calibri"/>
          <w:sz w:val="22"/>
          <w:szCs w:val="22"/>
        </w:rPr>
        <w:t xml:space="preserve">Findings documented with screenshots, reproduction steps, CVSS v3.1 scores, and remediation specific to the application's stack. Peer reviewed before submission.</w:t>
      </w:r>
    </w:p>
    <w:p>
      <w:pPr>
        <w:spacing w:after="100" w:before="0"/>
      </w:pPr>
      <w:r>
        <w:rPr>
          <w:rFonts w:ascii="Calibri" w:cs="Calibri" w:eastAsia="Calibri" w:hAnsi="Calibri"/>
          <w:sz w:val="22"/>
          <w:szCs w:val="22"/>
        </w:rPr>
        <w:t xml:space="preserve"/>
      </w:r>
    </w:p>
    <w:p>
      <w:pPr>
        <w:spacing w:after="60" w:before="160"/>
      </w:pPr>
      <w:r>
        <w:rPr>
          <w:rFonts w:ascii="Calibri" w:cs="Calibri" w:eastAsia="Calibri" w:hAnsi="Calibri"/>
          <w:b/>
          <w:bCs/>
          <w:color w:val="1B3A6B"/>
          <w:sz w:val="22"/>
          <w:szCs w:val="22"/>
        </w:rPr>
        <w:t xml:space="preserve">OWASP TOP 10 (2021)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spacing w:after="0" w:before="0"/>
              <w:jc w:val="left"/>
            </w:pPr>
            <w:r>
              <w:rPr>
                <w:rFonts w:ascii="Calibri" w:cs="Calibri" w:eastAsia="Calibri" w:hAnsi="Calibri"/>
                <w:b/>
                <w:bCs/>
                <w:color w:val="FFFFFF"/>
                <w:sz w:val="20"/>
                <w:szCs w:val="20"/>
              </w:rPr>
              <w:t xml:space="preserve">#</w:t>
            </w:r>
          </w:p>
        </w:tc>
        <w:tc>
          <w:tcPr>
            <w:tcW w:type="dxa" w:w="3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spacing w:after="0" w:before="0"/>
              <w:jc w:val="left"/>
            </w:pPr>
            <w:r>
              <w:rPr>
                <w:rFonts w:ascii="Calibri" w:cs="Calibri" w:eastAsia="Calibri" w:hAnsi="Calibri"/>
                <w:b/>
                <w:bCs/>
                <w:color w:val="FFFFFF"/>
                <w:sz w:val="20"/>
                <w:szCs w:val="20"/>
              </w:rPr>
              <w:t xml:space="preserve">Category</w:t>
            </w:r>
          </w:p>
        </w:tc>
        <w:tc>
          <w:tcPr>
            <w:tcW w:type="dxa" w:w="52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spacing w:after="0" w:before="0"/>
              <w:jc w:val="left"/>
            </w:pPr>
            <w:r>
              <w:rPr>
                <w:rFonts w:ascii="Calibri" w:cs="Calibri" w:eastAsia="Calibri" w:hAnsi="Calibri"/>
                <w:b/>
                <w:bCs/>
                <w:color w:val="FFFFFF"/>
                <w:sz w:val="20"/>
                <w:szCs w:val="20"/>
              </w:rPr>
              <w:t xml:space="preserve">Test Focus</w:t>
            </w:r>
          </w:p>
        </w:tc>
      </w:tr>
      <w:tr>
        <w:tc>
          <w:tcPr>
            <w:tcW w:type="dxa" w:w="9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A01</w:t>
            </w:r>
          </w:p>
        </w:tc>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Broken Access Control</w:t>
            </w:r>
          </w:p>
        </w:tc>
        <w:tc>
          <w:tcPr>
            <w:tcW w:type="dxa" w:w="52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IDOR, forced browsing, horizontal/vertical privilege escalation</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A02</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Cryptographic Failures</w:t>
            </w:r>
          </w:p>
        </w:tc>
        <w:tc>
          <w:tcPr>
            <w:tcW w:type="dxa" w:w="52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TLS/SSL config, weak ciphers, sensitive data in transit and at rest</w:t>
            </w:r>
          </w:p>
        </w:tc>
      </w:tr>
      <w:tr>
        <w:tc>
          <w:tcPr>
            <w:tcW w:type="dxa" w:w="9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A03</w:t>
            </w:r>
          </w:p>
        </w:tc>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Injection</w:t>
            </w:r>
          </w:p>
        </w:tc>
        <w:tc>
          <w:tcPr>
            <w:tcW w:type="dxa" w:w="52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SQL, LDAP, OS command, XPath injection — automated and manual</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A04</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Insecure Design</w:t>
            </w:r>
          </w:p>
        </w:tc>
        <w:tc>
          <w:tcPr>
            <w:tcW w:type="dxa" w:w="52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Business logic review, threat model gaps, workflow abuse</w:t>
            </w:r>
          </w:p>
        </w:tc>
      </w:tr>
      <w:tr>
        <w:tc>
          <w:tcPr>
            <w:tcW w:type="dxa" w:w="9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A05</w:t>
            </w:r>
          </w:p>
        </w:tc>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Security Misconfiguration</w:t>
            </w:r>
          </w:p>
        </w:tc>
        <w:tc>
          <w:tcPr>
            <w:tcW w:type="dxa" w:w="52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Default credentials, verbose errors, unnecessary features, directory listing</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A06</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Vulnerable Components</w:t>
            </w:r>
          </w:p>
        </w:tc>
        <w:tc>
          <w:tcPr>
            <w:tcW w:type="dxa" w:w="52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Library/framework version analysis, known CVE mapping</w:t>
            </w:r>
          </w:p>
        </w:tc>
      </w:tr>
      <w:tr>
        <w:tc>
          <w:tcPr>
            <w:tcW w:type="dxa" w:w="9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A07</w:t>
            </w:r>
          </w:p>
        </w:tc>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Auth &amp; Session Failures</w:t>
            </w:r>
          </w:p>
        </w:tc>
        <w:tc>
          <w:tcPr>
            <w:tcW w:type="dxa" w:w="52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Brute force, session fixation, token analysis, MFA bypass, logout/timeout</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A08</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Data Integrity Failures</w:t>
            </w:r>
          </w:p>
        </w:tc>
        <w:tc>
          <w:tcPr>
            <w:tcW w:type="dxa" w:w="52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Serialisation issues, CI/CD pipeline review where accessible</w:t>
            </w:r>
          </w:p>
        </w:tc>
      </w:tr>
      <w:tr>
        <w:tc>
          <w:tcPr>
            <w:tcW w:type="dxa" w:w="9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A09</w:t>
            </w:r>
          </w:p>
        </w:tc>
        <w:tc>
          <w:tcPr>
            <w:tcW w:type="dxa" w:w="32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Logging &amp; Monitoring</w:t>
            </w:r>
          </w:p>
        </w:tc>
        <w:tc>
          <w:tcPr>
            <w:tcW w:type="dxa" w:w="52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Log injection, monitoring gap assessment</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B3A6B"/>
                <w:sz w:val="18"/>
                <w:szCs w:val="18"/>
              </w:rPr>
              <w:t xml:space="preserve">A10</w:t>
            </w:r>
          </w:p>
        </w:tc>
        <w:tc>
          <w:tcPr>
            <w:tcW w:type="dxa" w:w="3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222222"/>
                <w:sz w:val="19"/>
                <w:szCs w:val="19"/>
              </w:rPr>
              <w:t xml:space="preserve">SSRF</w:t>
            </w:r>
          </w:p>
        </w:tc>
        <w:tc>
          <w:tcPr>
            <w:tcW w:type="dxa" w:w="52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6B7280"/>
                <w:sz w:val="18"/>
                <w:szCs w:val="18"/>
              </w:rPr>
              <w:t xml:space="preserve">Server-Side Request Forgery — internal network access via application</w:t>
            </w:r>
          </w:p>
        </w:tc>
      </w:tr>
    </w:tbl>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11.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spacing w:after="0" w:before="0"/>
              <w:jc w:val="left"/>
            </w:pPr>
            <w:r>
              <w:rPr>
                <w:rFonts w:ascii="Calibri" w:cs="Calibri" w:eastAsia="Calibri" w:hAnsi="Calibri"/>
                <w:b/>
                <w:bCs/>
                <w:color w:val="FFFFFF"/>
                <w:sz w:val="20"/>
                <w:szCs w:val="20"/>
              </w:rPr>
              <w:t xml:space="preserve">Phase</w:t>
            </w:r>
          </w:p>
        </w:tc>
        <w:tc>
          <w:tcPr>
            <w:tcW w:type="dxa" w:w="51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spacing w:after="0" w:before="0"/>
              <w:jc w:val="left"/>
            </w:pPr>
            <w:r>
              <w:rPr>
                <w:rFonts w:ascii="Calibri" w:cs="Calibri" w:eastAsia="Calibri" w:hAnsi="Calibri"/>
                <w:b/>
                <w:bCs/>
                <w:color w:val="FFFFFF"/>
                <w:sz w:val="20"/>
                <w:szCs w:val="20"/>
              </w:rPr>
              <w:t xml:space="preserve">Activity</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vAlign w:val="center"/>
          </w:tcPr>
          <w:p>
            <w:pPr>
              <w:spacing w:after="0" w:before="0"/>
              <w:jc w:val="left"/>
            </w:pPr>
            <w:r>
              <w:rPr>
                <w:rFonts w:ascii="Calibri" w:cs="Calibri" w:eastAsia="Calibri" w:hAnsi="Calibri"/>
                <w:b/>
                <w:bCs/>
                <w:color w:val="FFFFFF"/>
                <w:sz w:val="20"/>
                <w:szCs w:val="20"/>
              </w:rPr>
              <w:t xml:space="preserve">Duration</w:t>
            </w:r>
          </w:p>
        </w:tc>
      </w:tr>
      <w:tr>
        <w:tc>
          <w:tcPr>
            <w:tcW w:type="dxa" w:w="24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19"/>
                <w:szCs w:val="19"/>
              </w:rPr>
              <w:t xml:space="preserve">Kickoff</w:t>
            </w:r>
          </w:p>
        </w:tc>
        <w:tc>
          <w:tcPr>
            <w:tcW w:type="dxa" w:w="51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000000"/>
                <w:sz w:val="19"/>
                <w:szCs w:val="19"/>
              </w:rPr>
              <w:t xml:space="preserve">Scope confirmation, test account sharing, rules of engagement sign-off</w:t>
            </w:r>
          </w:p>
        </w:tc>
        <w:tc>
          <w:tcPr>
            <w:tcW w:type="dxa" w:w="18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color w:val="92400E"/>
                <w:sz w:val="19"/>
                <w:szCs w:val="19"/>
              </w:rPr>
              <w:t xml:space="preserve">[TO BE FILLED]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19"/>
                <w:szCs w:val="19"/>
              </w:rPr>
              <w:t xml:space="preserve">Reconnaissance</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000000"/>
                <w:sz w:val="19"/>
                <w:szCs w:val="19"/>
              </w:rPr>
              <w:t xml:space="preserve">Application mapping, endpoint discovery, role analysis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color w:val="92400E"/>
                <w:sz w:val="19"/>
                <w:szCs w:val="19"/>
              </w:rPr>
              <w:t xml:space="preserve">[TO BE FILLED]</w:t>
            </w:r>
          </w:p>
        </w:tc>
      </w:tr>
      <w:tr>
        <w:tc>
          <w:tcPr>
            <w:tcW w:type="dxa" w:w="24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19"/>
                <w:szCs w:val="19"/>
              </w:rPr>
              <w:t xml:space="preserve">Assessment</w:t>
            </w:r>
          </w:p>
        </w:tc>
        <w:tc>
          <w:tcPr>
            <w:tcW w:type="dxa" w:w="51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000000"/>
                <w:sz w:val="19"/>
                <w:szCs w:val="19"/>
              </w:rPr>
              <w:t xml:space="preserve">Manual WAPT across all roles, pages, and APIs</w:t>
            </w:r>
          </w:p>
        </w:tc>
        <w:tc>
          <w:tcPr>
            <w:tcW w:type="dxa" w:w="18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color w:val="92400E"/>
                <w:sz w:val="19"/>
                <w:szCs w:val="19"/>
              </w:rPr>
              <w:t xml:space="preserve">[TO BE FILLED]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19"/>
                <w:szCs w:val="19"/>
              </w:rPr>
              <w:t xml:space="preserve">Reporting</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000000"/>
                <w:sz w:val="19"/>
                <w:szCs w:val="19"/>
              </w:rPr>
              <w:t xml:space="preserve">Draft report preparation — findings, evidence, OWASP matrix</w:t>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color w:val="92400E"/>
                <w:sz w:val="19"/>
                <w:szCs w:val="19"/>
              </w:rPr>
              <w:t xml:space="preserve">[TO BE FILLED]</w:t>
            </w:r>
          </w:p>
        </w:tc>
      </w:tr>
      <w:tr>
        <w:tc>
          <w:tcPr>
            <w:tcW w:type="dxa" w:w="24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19"/>
                <w:szCs w:val="19"/>
              </w:rPr>
              <w:t xml:space="preserve">Review &amp; Delivery</w:t>
            </w:r>
          </w:p>
        </w:tc>
        <w:tc>
          <w:tcPr>
            <w:tcW w:type="dxa" w:w="516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left"/>
            </w:pPr>
            <w:r>
              <w:rPr>
                <w:rFonts w:ascii="Calibri" w:cs="Calibri" w:eastAsia="Calibri" w:hAnsi="Calibri"/>
                <w:color w:val="000000"/>
                <w:sz w:val="19"/>
                <w:szCs w:val="19"/>
              </w:rPr>
              <w:t xml:space="preserve">Client review of draft, final report, walkthrough session</w:t>
            </w:r>
          </w:p>
        </w:tc>
        <w:tc>
          <w:tcPr>
            <w:tcW w:type="dxa" w:w="1800"/>
            <w:tcBorders>
              <w:top w:val="single" w:color="D1D5DB" w:sz="4"/>
              <w:left w:val="single" w:color="D1D5DB" w:sz="4"/>
              <w:bottom w:val="single" w:color="D1D5DB" w:sz="4"/>
              <w:right w:val="single" w:color="D1D5DB" w:sz="4"/>
            </w:tcBorders>
            <w:shd w:fill="F4F6FA" w:val="clear"/>
            <w:tcMar>
              <w:top w:type="dxa" w:w="80"/>
              <w:left w:type="dxa" w:w="140"/>
              <w:bottom w:type="dxa" w:w="80"/>
              <w:right w:type="dxa" w:w="140"/>
            </w:tcMar>
            <w:vAlign w:val="center"/>
          </w:tcPr>
          <w:p>
            <w:pPr>
              <w:spacing w:after="0" w:before="0"/>
              <w:jc w:val="center"/>
            </w:pPr>
            <w:r>
              <w:rPr>
                <w:rFonts w:ascii="Calibri" w:cs="Calibri" w:eastAsia="Calibri" w:hAnsi="Calibri"/>
                <w:color w:val="92400E"/>
                <w:sz w:val="19"/>
                <w:szCs w:val="19"/>
              </w:rPr>
              <w:t xml:space="preserve">[TO BE FILLED]</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b/>
                <w:bCs/>
                <w:color w:val="1B3A6B"/>
                <w:sz w:val="19"/>
                <w:szCs w:val="19"/>
              </w:rPr>
              <w:t xml:space="preserve">Total</w:t>
            </w:r>
          </w:p>
        </w:tc>
        <w:tc>
          <w:tcPr>
            <w:tcW w:type="dxa" w:w="51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left"/>
            </w:pPr>
            <w:r>
              <w:rPr>
                <w:rFonts w:ascii="Calibri" w:cs="Calibri" w:eastAsia="Calibri" w:hAnsi="Calibri"/>
                <w:color w:val="000000"/>
                <w:sz w:val="19"/>
                <w:szCs w:val="19"/>
              </w:rPr>
              <w:t xml:space="preserve"/>
            </w:r>
          </w:p>
        </w:tc>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vAlign w:val="center"/>
          </w:tcPr>
          <w:p>
            <w:pPr>
              <w:spacing w:after="0" w:before="0"/>
              <w:jc w:val="center"/>
            </w:pPr>
            <w:r>
              <w:rPr>
                <w:rFonts w:ascii="Calibri" w:cs="Calibri" w:eastAsia="Calibri" w:hAnsi="Calibri"/>
                <w:color w:val="92400E"/>
                <w:sz w:val="19"/>
                <w:szCs w:val="19"/>
              </w:rPr>
              <w:t xml:space="preserve">[TOTAL]</w:t>
            </w:r>
          </w:p>
        </w:tc>
      </w:tr>
    </w:tbl>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12.  Prerequisites &amp; Dependencies</w:t>
      </w:r>
    </w:p>
    <w:p>
      <w:pPr>
        <w:spacing w:after="60" w:before="160"/>
      </w:pPr>
      <w:r>
        <w:rPr>
          <w:rFonts w:ascii="Calibri" w:cs="Calibri" w:eastAsia="Calibri" w:hAnsi="Calibri"/>
          <w:b/>
          <w:bCs/>
          <w:color w:val="1B3A6B"/>
          <w:sz w:val="22"/>
          <w:szCs w:val="22"/>
        </w:rPr>
        <w:t xml:space="preserve">From Prime Infoserv</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Static IP addresses for whitelisting — provided at kickoff</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Signed Rules of Engagement document before testing commences</w:t>
      </w:r>
    </w:p>
    <w:p>
      <w:pPr>
        <w:spacing w:after="60" w:before="160"/>
      </w:pPr>
      <w:r>
        <w:rPr>
          <w:rFonts w:ascii="Calibri" w:cs="Calibri" w:eastAsia="Calibri" w:hAnsi="Calibri"/>
          <w:b/>
          <w:bCs/>
          <w:color w:val="1B3A6B"/>
          <w:sz w:val="22"/>
          <w:szCs w:val="22"/>
        </w:rPr>
        <w:t xml:space="preserve">From [CLIENT NAME]</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Application URL and environment access confirmed before kickoff</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Test accounts for all defined user roles — required 1 working day before testing starts</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Test data available in the application (or client to confirm test data provision)</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Named technical SPOC available during business hours throughout the testing period</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Staging / pre-production environment preferred — production testing requires separate written approval</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For White Box testing: full source code repository access (read-only), architecture documentation, and data flow diagrams</w:t>
      </w:r>
    </w:p>
    <w:p>
      <w:pPr>
        <w:pStyle w:val="ListParagraph"/>
        <w:numPr>
          <w:ilvl w:val="0"/>
          <w:numId w:val="2"/>
        </w:numPr>
        <w:spacing w:after="40" w:before="40"/>
      </w:pPr>
      <w:r>
        <w:rPr>
          <w:rFonts w:ascii="Calibri" w:cs="Calibri" w:eastAsia="Calibri" w:hAnsi="Calibri"/>
          <w:sz w:val="20"/>
          <w:szCs w:val="20"/>
        </w:rPr>
        <w:t xml:space="preserve"/>
      </w:r>
      <w:r>
        <w:rPr>
          <w:rFonts w:ascii="Calibri" w:cs="Calibri" w:eastAsia="Calibri" w:hAnsi="Calibri"/>
          <w:color w:val="333333"/>
          <w:sz w:val="20"/>
          <w:szCs w:val="20"/>
        </w:rPr>
        <w:t xml:space="preserve">Delays caused by late credential sharing or unavailability extend the timeline proportionally</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13.  Commercials</w:t>
      </w:r>
    </w:p>
    <w:p>
      <w:pPr>
        <w:shd w:fill="FFF3CD" w:val="clear"/>
        <w:spacing w:after="80" w:before="80"/>
      </w:pPr>
      <w:r>
        <w:rPr>
          <w:rFonts w:ascii="Calibri" w:cs="Calibri" w:eastAsia="Calibri" w:hAnsi="Calibri"/>
          <w:b/>
          <w:bCs/>
          <w:color w:val="92400E"/>
          <w:sz w:val="22"/>
          <w:szCs w:val="22"/>
        </w:rPr>
        <w:t xml:space="preserve">[  TO BE FILLED — Application list, per-app fees, GST, grand total  ]</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14.  Payment Milestones</w:t>
      </w:r>
    </w:p>
    <w:p>
      <w:pPr>
        <w:shd w:fill="FFF3CD" w:val="clear"/>
        <w:spacing w:after="80" w:before="80"/>
      </w:pPr>
      <w:r>
        <w:rPr>
          <w:rFonts w:ascii="Calibri" w:cs="Calibri" w:eastAsia="Calibri" w:hAnsi="Calibri"/>
          <w:b/>
          <w:bCs/>
          <w:color w:val="92400E"/>
          <w:sz w:val="22"/>
          <w:szCs w:val="22"/>
        </w:rPr>
        <w:t xml:space="preserve">[  TO BE FILLED — Milestone 1, 2 with % and trigger  ]</w:t>
      </w:r>
    </w:p>
    <w:p>
      <w:pPr>
        <w:spacing w:after="100" w:before="0"/>
      </w:pPr>
      <w:r>
        <w:rPr>
          <w:rFonts w:ascii="Calibri" w:cs="Calibri" w:eastAsia="Calibri" w:hAnsi="Calibri"/>
          <w:sz w:val="22"/>
          <w:szCs w:val="22"/>
        </w:rPr>
        <w:t xml:space="preserve"/>
      </w:r>
    </w:p>
    <w:p>
      <w:pPr>
        <w:pBdr>
          <w:bottom w:val="single" w:color="1B3A6B" w:sz="8"/>
        </w:pBdr>
        <w:spacing w:after="100" w:before="280"/>
      </w:pPr>
      <w:r>
        <w:rPr>
          <w:rFonts w:ascii="Calibri" w:cs="Calibri" w:eastAsia="Calibri" w:hAnsi="Calibri"/>
          <w:b/>
          <w:bCs/>
          <w:color w:val="1B3A6B"/>
          <w:sz w:val="28"/>
          <w:szCs w:val="28"/>
        </w:rPr>
        <w:t xml:space="preserve">15.  Terms &amp; Conditions</w:t>
      </w:r>
    </w:p>
    <w:p>
      <w:pPr>
        <w:spacing w:after="60" w:before="160"/>
      </w:pPr>
      <w:r>
        <w:rPr>
          <w:rFonts w:ascii="Calibri" w:cs="Calibri" w:eastAsia="Calibri" w:hAnsi="Calibri"/>
          <w:b/>
          <w:bCs/>
          <w:color w:val="1B3A6B"/>
          <w:sz w:val="22"/>
          <w:szCs w:val="22"/>
        </w:rPr>
        <w:t xml:space="preserve">15.1.  </w:t>
      </w:r>
      <w:r>
        <w:rPr>
          <w:rFonts w:ascii="Calibri" w:cs="Calibri" w:eastAsia="Calibri" w:hAnsi="Calibri"/>
          <w:b/>
          <w:bCs/>
          <w:color w:val="1B3A6B"/>
          <w:sz w:val="22"/>
          <w:szCs w:val="22"/>
        </w:rPr>
        <w:t xml:space="preserve">Purchase Order</w:t>
      </w:r>
    </w:p>
    <w:p>
      <w:pPr>
        <w:spacing w:after="80" w:before="40" w:line="288"/>
        <w:ind w:left="280"/>
        <w:jc w:val="both"/>
      </w:pPr>
      <w:r>
        <w:rPr>
          <w:rFonts w:ascii="Calibri" w:cs="Calibri" w:eastAsia="Calibri" w:hAnsi="Calibri"/>
          <w:color w:val="222222"/>
          <w:sz w:val="20"/>
          <w:szCs w:val="20"/>
        </w:rPr>
        <w:t xml:space="preserve">PO to be placed on Prime Infoserv Private Limited, SDF Building, 5th Floor, Module-611, Salt Lake Sector V, Bidhan Nagar, North 24 Parganas, West Bengal — 700091. GSTIN: 19AAPCP3814K1ZW. SAC Code: 998399.</w:t>
      </w:r>
    </w:p>
    <w:p>
      <w:pPr>
        <w:spacing w:after="60" w:before="160"/>
      </w:pPr>
      <w:r>
        <w:rPr>
          <w:rFonts w:ascii="Calibri" w:cs="Calibri" w:eastAsia="Calibri" w:hAnsi="Calibri"/>
          <w:b/>
          <w:bCs/>
          <w:color w:val="1B3A6B"/>
          <w:sz w:val="22"/>
          <w:szCs w:val="22"/>
        </w:rPr>
        <w:t xml:space="preserve">15.2.  </w:t>
      </w:r>
      <w:r>
        <w:rPr>
          <w:rFonts w:ascii="Calibri" w:cs="Calibri" w:eastAsia="Calibri" w:hAnsi="Calibri"/>
          <w:b/>
          <w:bCs/>
          <w:color w:val="1B3A6B"/>
          <w:sz w:val="22"/>
          <w:szCs w:val="22"/>
        </w:rPr>
        <w:t xml:space="preserve">Proposal Validity</w:t>
      </w:r>
    </w:p>
    <w:p>
      <w:pPr>
        <w:spacing w:after="80" w:before="40" w:line="288"/>
        <w:ind w:left="280"/>
        <w:jc w:val="both"/>
      </w:pPr>
      <w:r>
        <w:rPr>
          <w:rFonts w:ascii="Calibri" w:cs="Calibri" w:eastAsia="Calibri" w:hAnsi="Calibri"/>
          <w:color w:val="222222"/>
          <w:sz w:val="20"/>
          <w:szCs w:val="20"/>
        </w:rPr>
        <w:t xml:space="preserve">This proposal is valid for 30 days from the date of issue. Prime Infoserv reserves the right to revise commercial terms if the proposal is accepted after the validity period.</w:t>
      </w:r>
    </w:p>
    <w:p>
      <w:pPr>
        <w:spacing w:after="60" w:before="160"/>
      </w:pPr>
      <w:r>
        <w:rPr>
          <w:rFonts w:ascii="Calibri" w:cs="Calibri" w:eastAsia="Calibri" w:hAnsi="Calibri"/>
          <w:b/>
          <w:bCs/>
          <w:color w:val="1B3A6B"/>
          <w:sz w:val="22"/>
          <w:szCs w:val="22"/>
        </w:rPr>
        <w:t xml:space="preserve">15.3.  </w:t>
      </w:r>
      <w:r>
        <w:rPr>
          <w:rFonts w:ascii="Calibri" w:cs="Calibri" w:eastAsia="Calibri" w:hAnsi="Calibri"/>
          <w:b/>
          <w:bCs/>
          <w:color w:val="1B3A6B"/>
          <w:sz w:val="22"/>
          <w:szCs w:val="22"/>
        </w:rPr>
        <w:t xml:space="preserve">GST</w:t>
      </w:r>
    </w:p>
    <w:p>
      <w:pPr>
        <w:spacing w:after="80" w:before="40" w:line="288"/>
        <w:ind w:left="280"/>
        <w:jc w:val="both"/>
      </w:pPr>
      <w:r>
        <w:rPr>
          <w:rFonts w:ascii="Calibri" w:cs="Calibri" w:eastAsia="Calibri" w:hAnsi="Calibri"/>
          <w:color w:val="222222"/>
          <w:sz w:val="20"/>
          <w:szCs w:val="20"/>
        </w:rPr>
        <w:t xml:space="preserve">GST at 18% is applicable on all professional fees and will be reflected in the formal tax invoice.</w:t>
      </w:r>
    </w:p>
    <w:p>
      <w:pPr>
        <w:spacing w:after="60" w:before="160"/>
      </w:pPr>
      <w:r>
        <w:rPr>
          <w:rFonts w:ascii="Calibri" w:cs="Calibri" w:eastAsia="Calibri" w:hAnsi="Calibri"/>
          <w:b/>
          <w:bCs/>
          <w:color w:val="1B3A6B"/>
          <w:sz w:val="22"/>
          <w:szCs w:val="22"/>
        </w:rPr>
        <w:t xml:space="preserve">15.4.  </w:t>
      </w:r>
      <w:r>
        <w:rPr>
          <w:rFonts w:ascii="Calibri" w:cs="Calibri" w:eastAsia="Calibri" w:hAnsi="Calibri"/>
          <w:b/>
          <w:bCs/>
          <w:color w:val="1B3A6B"/>
          <w:sz w:val="22"/>
          <w:szCs w:val="22"/>
        </w:rPr>
        <w:t xml:space="preserve">Access &amp; Dependencies</w:t>
      </w:r>
    </w:p>
    <w:p>
      <w:pPr>
        <w:spacing w:after="80" w:before="40" w:line="288"/>
        <w:ind w:left="280"/>
        <w:jc w:val="both"/>
      </w:pPr>
      <w:r>
        <w:rPr>
          <w:rFonts w:ascii="Calibri" w:cs="Calibri" w:eastAsia="Calibri" w:hAnsi="Calibri"/>
          <w:color w:val="222222"/>
          <w:sz w:val="20"/>
          <w:szCs w:val="20"/>
        </w:rPr>
        <w:t xml:space="preserve">Timely delivery depends on the client providing test accounts, access, and stakeholder availability as listed under Prerequisites. Delays caused by the client extend the timeline proportionally and are not treated as Prime Infoserv's default.</w:t>
      </w:r>
    </w:p>
    <w:p>
      <w:pPr>
        <w:spacing w:after="60" w:before="160"/>
      </w:pPr>
      <w:r>
        <w:rPr>
          <w:rFonts w:ascii="Calibri" w:cs="Calibri" w:eastAsia="Calibri" w:hAnsi="Calibri"/>
          <w:b/>
          <w:bCs/>
          <w:color w:val="1B3A6B"/>
          <w:sz w:val="22"/>
          <w:szCs w:val="22"/>
        </w:rPr>
        <w:t xml:space="preserve">15.5.  </w:t>
      </w:r>
      <w:r>
        <w:rPr>
          <w:rFonts w:ascii="Calibri" w:cs="Calibri" w:eastAsia="Calibri" w:hAnsi="Calibri"/>
          <w:b/>
          <w:bCs/>
          <w:color w:val="1B3A6B"/>
          <w:sz w:val="22"/>
          <w:szCs w:val="22"/>
        </w:rPr>
        <w:t xml:space="preserve">Rules of Engagement</w:t>
      </w:r>
    </w:p>
    <w:p>
      <w:pPr>
        <w:spacing w:after="80" w:before="40" w:line="288"/>
        <w:ind w:left="280"/>
        <w:jc w:val="both"/>
      </w:pPr>
      <w:r>
        <w:rPr>
          <w:rFonts w:ascii="Calibri" w:cs="Calibri" w:eastAsia="Calibri" w:hAnsi="Calibri"/>
          <w:color w:val="222222"/>
          <w:sz w:val="20"/>
          <w:szCs w:val="20"/>
        </w:rPr>
        <w:t xml:space="preserve">No testing will be performed outside the agreed scope. Production testing requires separate written approval. Prime Infoserv will notify the client immediately of any critical finding as per the notification protocol.</w:t>
      </w:r>
    </w:p>
    <w:p>
      <w:pPr>
        <w:spacing w:after="60" w:before="160"/>
      </w:pPr>
      <w:r>
        <w:rPr>
          <w:rFonts w:ascii="Calibri" w:cs="Calibri" w:eastAsia="Calibri" w:hAnsi="Calibri"/>
          <w:b/>
          <w:bCs/>
          <w:color w:val="1B3A6B"/>
          <w:sz w:val="22"/>
          <w:szCs w:val="22"/>
        </w:rPr>
        <w:t xml:space="preserve">15.6.  </w:t>
      </w:r>
      <w:r>
        <w:rPr>
          <w:rFonts w:ascii="Calibri" w:cs="Calibri" w:eastAsia="Calibri" w:hAnsi="Calibri"/>
          <w:b/>
          <w:bCs/>
          <w:color w:val="1B3A6B"/>
          <w:sz w:val="22"/>
          <w:szCs w:val="22"/>
        </w:rPr>
        <w:t xml:space="preserve">Critical Finding Notification</w:t>
      </w:r>
    </w:p>
    <w:p>
      <w:pPr>
        <w:spacing w:after="80" w:before="40" w:line="288"/>
        <w:ind w:left="280"/>
        <w:jc w:val="both"/>
      </w:pPr>
      <w:r>
        <w:rPr>
          <w:rFonts w:ascii="Calibri" w:cs="Calibri" w:eastAsia="Calibri" w:hAnsi="Calibri"/>
          <w:color w:val="222222"/>
          <w:sz w:val="20"/>
          <w:szCs w:val="20"/>
        </w:rPr>
        <w:t xml:space="preserve">Any Critical severity finding will be communicated verbally to the client's nominated contact within 30 minutes of confirmation, followed by written notification within 2 hours.</w:t>
      </w:r>
    </w:p>
    <w:p>
      <w:pPr>
        <w:spacing w:after="60" w:before="160"/>
      </w:pPr>
      <w:r>
        <w:rPr>
          <w:rFonts w:ascii="Calibri" w:cs="Calibri" w:eastAsia="Calibri" w:hAnsi="Calibri"/>
          <w:b/>
          <w:bCs/>
          <w:color w:val="1B3A6B"/>
          <w:sz w:val="22"/>
          <w:szCs w:val="22"/>
        </w:rPr>
        <w:t xml:space="preserve">15.7.  </w:t>
      </w:r>
      <w:r>
        <w:rPr>
          <w:rFonts w:ascii="Calibri" w:cs="Calibri" w:eastAsia="Calibri" w:hAnsi="Calibri"/>
          <w:b/>
          <w:bCs/>
          <w:color w:val="1B3A6B"/>
          <w:sz w:val="22"/>
          <w:szCs w:val="22"/>
        </w:rPr>
        <w:t xml:space="preserve">Scope Changes</w:t>
      </w:r>
    </w:p>
    <w:p>
      <w:pPr>
        <w:spacing w:after="80" w:before="40" w:line="288"/>
        <w:ind w:left="280"/>
        <w:jc w:val="both"/>
      </w:pPr>
      <w:r>
        <w:rPr>
          <w:rFonts w:ascii="Calibri" w:cs="Calibri" w:eastAsia="Calibri" w:hAnsi="Calibri"/>
          <w:color w:val="222222"/>
          <w:sz w:val="20"/>
          <w:szCs w:val="20"/>
        </w:rPr>
        <w:t xml:space="preserve">Any change in scope after contract signing — additional pages, roles, or applications — will be assessed and quoted separately before work commences.</w:t>
      </w:r>
    </w:p>
    <w:p>
      <w:pPr>
        <w:spacing w:after="60" w:before="160"/>
      </w:pPr>
      <w:r>
        <w:rPr>
          <w:rFonts w:ascii="Calibri" w:cs="Calibri" w:eastAsia="Calibri" w:hAnsi="Calibri"/>
          <w:b/>
          <w:bCs/>
          <w:color w:val="1B3A6B"/>
          <w:sz w:val="22"/>
          <w:szCs w:val="22"/>
        </w:rPr>
        <w:t xml:space="preserve">15.8.  </w:t>
      </w:r>
      <w:r>
        <w:rPr>
          <w:rFonts w:ascii="Calibri" w:cs="Calibri" w:eastAsia="Calibri" w:hAnsi="Calibri"/>
          <w:b/>
          <w:bCs/>
          <w:color w:val="1B3A6B"/>
          <w:sz w:val="22"/>
          <w:szCs w:val="22"/>
        </w:rPr>
        <w:t xml:space="preserve">Confidentiality</w:t>
      </w:r>
    </w:p>
    <w:p>
      <w:pPr>
        <w:spacing w:after="80" w:before="40" w:line="288"/>
        <w:ind w:left="280"/>
        <w:jc w:val="both"/>
      </w:pPr>
      <w:r>
        <w:rPr>
          <w:rFonts w:ascii="Calibri" w:cs="Calibri" w:eastAsia="Calibri" w:hAnsi="Calibri"/>
          <w:color w:val="222222"/>
          <w:sz w:val="20"/>
          <w:szCs w:val="20"/>
        </w:rPr>
        <w:t xml:space="preserve">A mutual NDA will be signed before engagement commencement. All Prime Infoserv consultants sign individual confidentiality undertakings. Confidentiality obligations survive for 5 years post engagement.</w:t>
      </w:r>
    </w:p>
    <w:p>
      <w:pPr>
        <w:spacing w:after="60" w:before="160"/>
      </w:pPr>
      <w:r>
        <w:rPr>
          <w:rFonts w:ascii="Calibri" w:cs="Calibri" w:eastAsia="Calibri" w:hAnsi="Calibri"/>
          <w:b/>
          <w:bCs/>
          <w:color w:val="1B3A6B"/>
          <w:sz w:val="22"/>
          <w:szCs w:val="22"/>
        </w:rPr>
        <w:t xml:space="preserve">15.9.  </w:t>
      </w:r>
      <w:r>
        <w:rPr>
          <w:rFonts w:ascii="Calibri" w:cs="Calibri" w:eastAsia="Calibri" w:hAnsi="Calibri"/>
          <w:b/>
          <w:bCs/>
          <w:color w:val="1B3A6B"/>
          <w:sz w:val="22"/>
          <w:szCs w:val="22"/>
        </w:rPr>
        <w:t xml:space="preserve">Intellectual Property</w:t>
      </w:r>
    </w:p>
    <w:p>
      <w:pPr>
        <w:spacing w:after="80" w:before="40" w:line="288"/>
        <w:ind w:left="280"/>
        <w:jc w:val="both"/>
      </w:pPr>
      <w:r>
        <w:rPr>
          <w:rFonts w:ascii="Calibri" w:cs="Calibri" w:eastAsia="Calibri" w:hAnsi="Calibri"/>
          <w:color w:val="222222"/>
          <w:sz w:val="20"/>
          <w:szCs w:val="20"/>
        </w:rPr>
        <w:t xml:space="preserve">All deliverables become the property of the client upon receipt of full payment. Prime Infoserv retains ownership of its underlying methodologies and frameworks.</w:t>
      </w:r>
    </w:p>
    <w:p>
      <w:pPr>
        <w:spacing w:after="60" w:before="160"/>
      </w:pPr>
      <w:r>
        <w:rPr>
          <w:rFonts w:ascii="Calibri" w:cs="Calibri" w:eastAsia="Calibri" w:hAnsi="Calibri"/>
          <w:b/>
          <w:bCs/>
          <w:color w:val="1B3A6B"/>
          <w:sz w:val="22"/>
          <w:szCs w:val="22"/>
        </w:rPr>
        <w:t xml:space="preserve">15.10.  </w:t>
      </w:r>
      <w:r>
        <w:rPr>
          <w:rFonts w:ascii="Calibri" w:cs="Calibri" w:eastAsia="Calibri" w:hAnsi="Calibri"/>
          <w:b/>
          <w:bCs/>
          <w:color w:val="1B3A6B"/>
          <w:sz w:val="22"/>
          <w:szCs w:val="22"/>
        </w:rPr>
        <w:t xml:space="preserve">Limitation of Liability</w:t>
      </w:r>
    </w:p>
    <w:p>
      <w:pPr>
        <w:spacing w:after="80" w:before="40" w:line="288"/>
        <w:ind w:left="280"/>
        <w:jc w:val="both"/>
      </w:pPr>
      <w:r>
        <w:rPr>
          <w:rFonts w:ascii="Calibri" w:cs="Calibri" w:eastAsia="Calibri" w:hAnsi="Calibri"/>
          <w:color w:val="222222"/>
          <w:sz w:val="20"/>
          <w:szCs w:val="20"/>
        </w:rPr>
        <w:t xml:space="preserve">Prime Infoserv's aggregate liability is limited to the total fees paid. Not liable for indirect, incidental, or consequential damages of any kind.</w:t>
      </w:r>
    </w:p>
    <w:p>
      <w:pPr>
        <w:spacing w:after="60" w:before="160"/>
      </w:pPr>
      <w:r>
        <w:rPr>
          <w:rFonts w:ascii="Calibri" w:cs="Calibri" w:eastAsia="Calibri" w:hAnsi="Calibri"/>
          <w:b/>
          <w:bCs/>
          <w:color w:val="1B3A6B"/>
          <w:sz w:val="22"/>
          <w:szCs w:val="22"/>
        </w:rPr>
        <w:t xml:space="preserve">15.11.  </w:t>
      </w:r>
      <w:r>
        <w:rPr>
          <w:rFonts w:ascii="Calibri" w:cs="Calibri" w:eastAsia="Calibri" w:hAnsi="Calibri"/>
          <w:b/>
          <w:bCs/>
          <w:color w:val="1B3A6B"/>
          <w:sz w:val="22"/>
          <w:szCs w:val="22"/>
        </w:rPr>
        <w:t xml:space="preserve">Termination</w:t>
      </w:r>
    </w:p>
    <w:p>
      <w:pPr>
        <w:spacing w:after="80" w:before="40" w:line="288"/>
        <w:ind w:left="280"/>
        <w:jc w:val="both"/>
      </w:pPr>
      <w:r>
        <w:rPr>
          <w:rFonts w:ascii="Calibri" w:cs="Calibri" w:eastAsia="Calibri" w:hAnsi="Calibri"/>
          <w:color w:val="222222"/>
          <w:sz w:val="20"/>
          <w:szCs w:val="20"/>
        </w:rPr>
        <w:t xml:space="preserve">Either party may terminate with 30 days' written notice. Advance payments are non-refundable. Work completed to termination date is payable pro-rated against the milestone schedule.</w:t>
      </w:r>
    </w:p>
    <w:p>
      <w:pPr>
        <w:spacing w:after="60" w:before="160"/>
      </w:pPr>
      <w:r>
        <w:rPr>
          <w:rFonts w:ascii="Calibri" w:cs="Calibri" w:eastAsia="Calibri" w:hAnsi="Calibri"/>
          <w:b/>
          <w:bCs/>
          <w:color w:val="1B3A6B"/>
          <w:sz w:val="22"/>
          <w:szCs w:val="22"/>
        </w:rPr>
        <w:t xml:space="preserve">15.12.  </w:t>
      </w:r>
      <w:r>
        <w:rPr>
          <w:rFonts w:ascii="Calibri" w:cs="Calibri" w:eastAsia="Calibri" w:hAnsi="Calibri"/>
          <w:b/>
          <w:bCs/>
          <w:color w:val="1B3A6B"/>
          <w:sz w:val="22"/>
          <w:szCs w:val="22"/>
        </w:rPr>
        <w:t xml:space="preserve">Force Majeure</w:t>
      </w:r>
    </w:p>
    <w:p>
      <w:pPr>
        <w:spacing w:after="80" w:before="40" w:line="288"/>
        <w:ind w:left="280"/>
        <w:jc w:val="both"/>
      </w:pPr>
      <w:r>
        <w:rPr>
          <w:rFonts w:ascii="Calibri" w:cs="Calibri" w:eastAsia="Calibri" w:hAnsi="Calibri"/>
          <w:color w:val="222222"/>
          <w:sz w:val="20"/>
          <w:szCs w:val="20"/>
        </w:rPr>
        <w:t xml:space="preserve">Neither party is liable for delays caused by events outside reasonable control.</w:t>
      </w:r>
    </w:p>
    <w:p>
      <w:pPr>
        <w:spacing w:after="60" w:before="160"/>
      </w:pPr>
      <w:r>
        <w:rPr>
          <w:rFonts w:ascii="Calibri" w:cs="Calibri" w:eastAsia="Calibri" w:hAnsi="Calibri"/>
          <w:b/>
          <w:bCs/>
          <w:color w:val="1B3A6B"/>
          <w:sz w:val="22"/>
          <w:szCs w:val="22"/>
        </w:rPr>
        <w:t xml:space="preserve">15.13.  </w:t>
      </w:r>
      <w:r>
        <w:rPr>
          <w:rFonts w:ascii="Calibri" w:cs="Calibri" w:eastAsia="Calibri" w:hAnsi="Calibri"/>
          <w:b/>
          <w:bCs/>
          <w:color w:val="1B3A6B"/>
          <w:sz w:val="22"/>
          <w:szCs w:val="22"/>
        </w:rPr>
        <w:t xml:space="preserve">Jurisdiction</w:t>
      </w:r>
    </w:p>
    <w:p>
      <w:pPr>
        <w:spacing w:after="80" w:before="40" w:line="288"/>
        <w:ind w:left="280"/>
        <w:jc w:val="both"/>
      </w:pPr>
      <w:r>
        <w:rPr>
          <w:rFonts w:ascii="Calibri" w:cs="Calibri" w:eastAsia="Calibri" w:hAnsi="Calibri"/>
          <w:color w:val="222222"/>
          <w:sz w:val="20"/>
          <w:szCs w:val="20"/>
        </w:rPr>
        <w:t xml:space="preserve">All disputes subject to the exclusive jurisdiction of courts in Kolkata, West Bengal, governed by Indian law.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9F2" w:sz="4"/>
      </w:pBdr>
      <w:spacing w:after="0" w:before="80"/>
      <w:jc w:val="center"/>
    </w:pPr>
    <w:r>
      <w:rPr>
        <w:rFonts w:ascii="Calibri" w:cs="Calibri" w:eastAsia="Calibri" w:hAnsi="Calibri"/>
        <w:color w:val="6B7280"/>
        <w:sz w:val="16"/>
        <w:szCs w:val="16"/>
      </w:rPr>
      <w:t xml:space="preserve">Prime Infoserv Private Limited  |  Web Application PT (WAPT) Proposal Template  |  GSTIN: 19AAPCP3814K1ZW  |  Page </w:t>
    </w:r>
    <w:r>
      <w:rPr>
        <w:rFonts w:ascii="Calibri" w:cs="Calibri" w:eastAsia="Calibri" w:hAnsi="Calibri"/>
        <w:color w:val="1B3A6B"/>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1B3A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spacing w:after="100" w:before="0"/>
    </w:pPr>
    <w:r>
      <w:drawing>
        <wp:inline distT="0" distB="0" distL="0" distR="0">
          <wp:extent cx="952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361950"/>
                  </a:xfrm>
                  <a:prstGeom prst="rect">
                    <a:avLst/>
                  </a:prstGeom>
                </pic:spPr>
              </pic:pic>
            </a:graphicData>
          </a:graphic>
        </wp:inline>
      </w:drawing>
    </w:r>
    <w:r>
      <w:rPr>
        <w:rFonts w:ascii="Calibri" w:cs="Calibri" w:eastAsia="Calibri" w:hAnsi="Calibri"/>
        <w:color w:val="6B7280"/>
        <w:sz w:val="16"/>
        <w:szCs w:val="16"/>
      </w:rPr>
      <w:t xml:space="preserve">  |  Our Expertise, Your Shield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413bc95e9d12a87ca9ef856c91b56b6a3509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3413bc95e9d12a87ca9ef856c91b56b6a35091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2026-06-09T05:24:17.141Z</dcterms:created>
  <dcterms:modified xsi:type="dcterms:W3CDTF">2026-06-09T05:24:17.141Z</dcterms:modified>
</cp:coreProperties>
</file>

<file path=docProps/custom.xml><?xml version="1.0" encoding="utf-8"?>
<Properties xmlns="http://schemas.openxmlformats.org/officeDocument/2006/custom-properties" xmlns:vt="http://schemas.openxmlformats.org/officeDocument/2006/docPropsVTypes"/>
</file>