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Vulnerability Assessment Report</w:t>
      </w:r>
    </w:p>
    <w:p>
      <w:r>
        <w:br/>
        <w:t>Client: Artemis Financial</w:t>
        <w:br/>
        <w:t>Prepared by: Global Rain – Agile Scrum Team</w:t>
        <w:br/>
        <w:t>Role: Software Developer</w:t>
        <w:br/>
        <w:t>Project: Project One – Secure Code Vulnerability Assessment</w:t>
        <w:br/>
        <w:br/>
        <w:t>1. Interpreting Client Needs</w:t>
        <w:br/>
        <w:t>Artemis Financial is a consulting company that provides individualized financial plans, including savings, retirement, investments, and insurance. Because the application processes sensitive financial data, strong security is required to protect confidentiality, integrity, and availability.</w:t>
        <w:br/>
        <w:br/>
        <w:t>Secure communications are critical to prevent interception and tampering of sensitive data. Financial organizations must also comply with security and privacy regulations that require encryption in transit.</w:t>
        <w:br/>
        <w:br/>
        <w:t>Potential threats include man-in-the-middle attacks, unauthorized API access, injection attacks, exploitation of vulnerable dependencies, information disclosure, and denial-of-service attacks.</w:t>
        <w:br/>
        <w:br/>
        <w:t>Modernization requirements include secure use of open-source libraries, strong encryption standards, and evolving web application technologies such as RESTful APIs.</w:t>
        <w:br/>
        <w:br/>
        <w:t>2. Areas of Security</w:t>
        <w:br/>
        <w:t>The relevant security areas include authentication and authorization, confidentiality, integrity, input validation, dependency security, error handling, and secure configuration.</w:t>
        <w:br/>
        <w:br/>
        <w:t>3. Manual Review Findings</w:t>
        <w:br/>
        <w:t>The manual code review identified vulnerabilities including hard-coded secrets, weak cryptography, insecure TLS configuration, missing authentication, insufficient input validation, verbose error handling, sensitive logging, missing security headers, and lack of rate limiting.</w:t>
        <w:br/>
        <w:br/>
        <w:t>4. Static Testing Results</w:t>
        <w:br/>
        <w:t>Static testing using OWASP Dependency-Check identified known vulnerabilities in third-party dependencies. These vulnerabilities were documented using CVE identifiers and remediation guidance from the National Vulnerability Database.</w:t>
        <w:br/>
        <w:br/>
        <w:t>5. Mitigation Plan</w:t>
        <w:br/>
        <w:t>Recommended mitigations include enforcing HTTPS, upgrading cryptography, removing hard-coded secrets, implementing authentication, validating inputs, improving error handling, securing logs, adding security headers, rate limiting, and updating vulnerable dependencies.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