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2"/>
      </w:tblGrid>
      <w:tr>
        <w:tc>
          <w:tcPr>
            <w:tcW w:type="dxa" w:w="9360"/>
            <w:shd w:val="clear" w:color="auto" w:fill="0d2045"/>
          </w:tcPr>
          <w:p/>
          <w:p>
            <w:pPr>
              <w:spacing w:before="40" w:after="0"/>
              <w:jc w:val="center"/>
            </w:pPr>
            <w:r>
              <w:rPr>
                <w:b/>
                <w:i w:val="0"/>
                <w:color w:val="C8A840"/>
                <w:sz w:val="18"/>
              </w:rPr>
              <w:t>OAKDEN CREATIVE</w:t>
            </w:r>
          </w:p>
          <w:p>
            <w:pPr>
              <w:spacing w:before="0" w:after="0"/>
              <w:jc w:val="center"/>
            </w:pPr>
          </w:p>
          <w:p>
            <w:pPr>
              <w:spacing w:before="80" w:after="0"/>
              <w:jc w:val="center"/>
            </w:pPr>
            <w:r>
              <w:rPr>
                <w:b/>
                <w:i w:val="0"/>
                <w:color w:val="FFFFFF"/>
                <w:sz w:val="40"/>
              </w:rPr>
              <w:t>GOOGLE ADS  PERFORMANCE  REPORT</w:t>
            </w:r>
          </w:p>
          <w:p>
            <w:pPr>
              <w:spacing w:before="80" w:after="0"/>
              <w:jc w:val="center"/>
            </w:pPr>
            <w:r>
              <w:rPr>
                <w:b/>
                <w:i/>
                <w:color w:val="C8A840"/>
                <w:sz w:val="26"/>
              </w:rPr>
              <w:t>May 2026 — Monthly Summary</w:t>
            </w:r>
          </w:p>
          <w:p>
            <w:pPr>
              <w:spacing w:before="120" w:after="0"/>
              <w:jc w:val="center"/>
            </w:pPr>
            <w:r>
              <w:rPr>
                <w:b w:val="0"/>
                <w:i w:val="0"/>
                <w:color w:val="CCDDEE"/>
                <w:sz w:val="18"/>
              </w:rPr>
              <w:t>In Person Valuation Campaign  ·  Johnsons Chartered Surveyors</w:t>
            </w:r>
          </w:p>
          <w:p>
            <w:pPr>
              <w:spacing w:before="40" w:after="0"/>
              <w:jc w:val="center"/>
            </w:pPr>
            <w:r>
              <w:rPr>
                <w:b w:val="0"/>
                <w:i w:val="0"/>
                <w:color w:val="CCDDEE"/>
                <w:sz w:val="18"/>
              </w:rPr>
              <w:t>Evesham &amp; Surrounding Area (WR11 · WR10 · WR12)</w:t>
            </w:r>
          </w:p>
          <w:p>
            <w:pPr>
              <w:spacing w:before="0" w:after="0"/>
              <w:jc w:val="center"/>
            </w:pPr>
          </w:p>
          <w:p>
            <w:pPr>
              <w:spacing w:before="80" w:after="0"/>
              <w:jc w:val="center"/>
            </w:pPr>
            <w:r>
              <w:rPr>
                <w:b/>
                <w:i w:val="0"/>
                <w:color w:val="C8A840"/>
                <w:sz w:val="16"/>
              </w:rPr>
              <w:t>CONFIDENTIAL  ·  JUNE 2026</w:t>
            </w:r>
          </w:p>
          <w:p>
            <w:pPr>
              <w:spacing w:before="320" w:after="0"/>
            </w:pPr>
          </w:p>
        </w:tc>
      </w:tr>
    </w:tbl>
    <w:p/>
    <w:p>
      <w:pPr>
        <w:spacing w:before="280" w:after="160"/>
        <w:pBdr>
          <w:bottom w:val="single" w:sz="6" w:color="C8A840"/>
        </w:pBdr>
      </w:pPr>
      <w:r>
        <w:rPr>
          <w:b/>
          <w:color w:val="0D2045"/>
          <w:sz w:val="22"/>
        </w:rPr>
        <w:t>EXECUTIVE SUMMARY</w:t>
      </w:r>
    </w:p>
    <w:tbl>
      <w:tblPr>
        <w:tblW w:type="auto" w:w="0"/>
        <w:tblLook w:firstColumn="1" w:firstRow="1" w:lastColumn="0" w:lastRow="0" w:noHBand="0" w:noVBand="1" w:val="04A0"/>
      </w:tblPr>
      <w:tblGrid>
        <w:gridCol w:w="9972"/>
      </w:tblGrid>
      <w:tr>
        <w:tc>
          <w:tcPr>
            <w:tcW w:type="dxa" w:w="9972"/>
            <w:shd w:val="clear" w:color="auto" w:fill="EEF2FA"/>
            <w:tcBorders>
              <w:left w:val="single" w:sz="12" w:color="0d2045"/>
            </w:tcBorders>
          </w:tcPr>
          <w:p/>
          <w:p>
            <w:pPr>
              <w:spacing w:before="80" w:after="80"/>
              <w:ind w:left="170" w:right="170"/>
            </w:pPr>
            <w:r>
              <w:rPr>
                <w:color w:val="1A2A3A"/>
                <w:sz w:val="19"/>
              </w:rPr>
              <w:t>Johnsons Property Consultants continues to book approximately 30 valuations per month through existing organic channels — referrals, walk-ins, and direct enquiries. The Google Ads campaign adds confirmed bookings on top of that baseline.</w:t>
            </w:r>
          </w:p>
          <w:p>
            <w:pPr>
              <w:spacing w:before="80" w:after="80"/>
              <w:ind w:left="170" w:right="170"/>
            </w:pPr>
            <w:r>
              <w:rPr>
                <w:color w:val="1A2A3A"/>
                <w:sz w:val="19"/>
              </w:rPr>
              <w:t>In May 2026, the campaign delivered 363 clicks at a CTR of 13.12% — up from 215 clicks and 9.13% CTR in April, and running at nearly three times the UK Google Ads average of 4.7%. The optimisation score improved from 74.4% to 90%. 1 confirmed in-person valuation booking was directly attributed to the campaign.</w:t>
            </w:r>
          </w:p>
          <w:p>
            <w:pPr>
              <w:spacing w:before="80" w:after="80"/>
              <w:ind w:left="170" w:right="170"/>
            </w:pPr>
            <w:r>
              <w:rPr>
                <w:color w:val="1A2A3A"/>
                <w:sz w:val="19"/>
              </w:rPr>
              <w:t>The April report identified a mobile form submission failure on the landing page — form completions were not tracking correctly, causing the final week of April (84 clicks) to produce zero confirmed bookings. This issue persisted through May, explaining the gap between 363 clicks and 1 confirmed booking. This is a tracking and landing page problem, not a demand problem — organic valuations were unaffected. The new dedicated landing page (valuations.johnsons-property.com) was launched on 2 June to resolve this directly.</w:t>
            </w:r>
          </w:p>
        </w:tc>
      </w:tr>
    </w:tbl>
    <w:p/>
    <w:p>
      <w:pPr>
        <w:spacing w:before="120" w:after="80"/>
      </w:pPr>
      <w:r>
        <w:rPr>
          <w:b/>
          <w:i w:val="0"/>
          <w:color w:val="C8A840"/>
          <w:sz w:val="17"/>
        </w:rPr>
        <w:t>KEY METRICS — MAY 2026</w:t>
      </w:r>
    </w:p>
    <w:tbl>
      <w:tblPr>
        <w:tblW w:type="auto" w:w="0"/>
        <w:jc w:val="center"/>
        <w:tblLook w:firstColumn="1" w:firstRow="1" w:lastColumn="0" w:lastRow="0" w:noHBand="0" w:noVBand="1" w:val="04A0"/>
      </w:tblPr>
      <w:tblGrid>
        <w:gridCol w:w="3324"/>
        <w:gridCol w:w="3324"/>
        <w:gridCol w:w="3324"/>
      </w:tblGrid>
      <w:tr>
        <w:tc>
          <w:tcPr>
            <w:tcW w:type="dxa" w:w="3324"/>
            <w:shd w:val="clear" w:color="auto" w:fill="C8F0D0"/>
          </w:tcPr>
          <w:p>
            <w:pPr>
              <w:jc w:val="center"/>
            </w:pPr>
            <w:r>
              <w:rPr>
                <w:b/>
                <w:color w:val="0A5A20"/>
                <w:sz w:val="36"/>
              </w:rPr>
              <w:t>363</w:t>
            </w:r>
          </w:p>
          <w:p>
            <w:pPr>
              <w:jc w:val="center"/>
            </w:pPr>
            <w:r>
              <w:rPr>
                <w:b/>
                <w:color w:val="8899AA"/>
                <w:sz w:val="16"/>
              </w:rPr>
              <w:t>Clicks</w:t>
            </w:r>
          </w:p>
          <w:p>
            <w:pPr>
              <w:spacing w:after="80"/>
              <w:jc w:val="center"/>
            </w:pPr>
            <w:r>
              <w:rPr>
                <w:color w:val="C8A840"/>
                <w:sz w:val="16"/>
              </w:rPr>
              <w:t>↑ from 215 in April</w:t>
            </w:r>
          </w:p>
        </w:tc>
        <w:tc>
          <w:tcPr>
            <w:tcW w:type="dxa" w:w="3324"/>
            <w:shd w:val="clear" w:color="auto" w:fill="EEF2FA"/>
          </w:tcPr>
          <w:p>
            <w:pPr>
              <w:jc w:val="center"/>
            </w:pPr>
            <w:r>
              <w:rPr>
                <w:b/>
                <w:color w:val="0D2045"/>
                <w:sz w:val="36"/>
              </w:rPr>
              <w:t>2,766</w:t>
            </w:r>
          </w:p>
          <w:p>
            <w:pPr>
              <w:jc w:val="center"/>
            </w:pPr>
            <w:r>
              <w:rPr>
                <w:b/>
                <w:color w:val="8899AA"/>
                <w:sz w:val="16"/>
              </w:rPr>
              <w:t>Impressions</w:t>
            </w:r>
          </w:p>
          <w:p>
            <w:pPr>
              <w:spacing w:after="80"/>
              <w:jc w:val="center"/>
            </w:pPr>
            <w:r>
              <w:rPr>
                <w:color w:val="C8A840"/>
                <w:sz w:val="16"/>
              </w:rPr>
              <w:t>May Total</w:t>
            </w:r>
          </w:p>
        </w:tc>
        <w:tc>
          <w:tcPr>
            <w:tcW w:type="dxa" w:w="3324"/>
            <w:shd w:val="clear" w:color="auto" w:fill="FDF4D0"/>
          </w:tcPr>
          <w:p>
            <w:pPr>
              <w:jc w:val="center"/>
            </w:pPr>
            <w:r>
              <w:rPr>
                <w:b/>
                <w:color w:val="7A5500"/>
                <w:sz w:val="36"/>
              </w:rPr>
              <w:t>13.12%</w:t>
            </w:r>
          </w:p>
          <w:p>
            <w:pPr>
              <w:jc w:val="center"/>
            </w:pPr>
            <w:r>
              <w:rPr>
                <w:b/>
                <w:color w:val="8899AA"/>
                <w:sz w:val="16"/>
              </w:rPr>
              <w:t>CTR</w:t>
            </w:r>
          </w:p>
          <w:p>
            <w:pPr>
              <w:spacing w:after="80"/>
              <w:jc w:val="center"/>
            </w:pPr>
            <w:r>
              <w:rPr>
                <w:color w:val="C8A840"/>
                <w:sz w:val="16"/>
              </w:rPr>
              <w:t>▲ UK avg 4.7%</w:t>
            </w:r>
          </w:p>
        </w:tc>
      </w:tr>
      <w:tr>
        <w:tc>
          <w:tcPr>
            <w:tcW w:type="dxa" w:w="3324"/>
            <w:shd w:val="clear" w:color="auto" w:fill="EEF2FA"/>
          </w:tcPr>
          <w:p>
            <w:pPr>
              <w:jc w:val="center"/>
            </w:pPr>
            <w:r>
              <w:rPr>
                <w:b/>
                <w:color w:val="0D2045"/>
                <w:sz w:val="36"/>
              </w:rPr>
              <w:t>[ADD]</w:t>
            </w:r>
          </w:p>
          <w:p>
            <w:pPr>
              <w:jc w:val="center"/>
            </w:pPr>
            <w:r>
              <w:rPr>
                <w:b/>
                <w:color w:val="8899AA"/>
                <w:sz w:val="16"/>
              </w:rPr>
              <w:t>Avg. CPC</w:t>
            </w:r>
          </w:p>
          <w:p>
            <w:pPr>
              <w:spacing w:after="80"/>
              <w:jc w:val="center"/>
            </w:pPr>
            <w:r>
              <w:rPr>
                <w:color w:val="C8A840"/>
                <w:sz w:val="16"/>
              </w:rPr>
              <w:t>vs £1.87 in April</w:t>
            </w:r>
          </w:p>
        </w:tc>
        <w:tc>
          <w:tcPr>
            <w:tcW w:type="dxa" w:w="3324"/>
            <w:shd w:val="clear" w:color="auto" w:fill="EEF2FA"/>
          </w:tcPr>
          <w:p>
            <w:pPr>
              <w:jc w:val="center"/>
            </w:pPr>
            <w:r>
              <w:rPr>
                <w:b/>
                <w:color w:val="0D2045"/>
                <w:sz w:val="36"/>
              </w:rPr>
              <w:t>[ADD]</w:t>
            </w:r>
          </w:p>
          <w:p>
            <w:pPr>
              <w:jc w:val="center"/>
            </w:pPr>
            <w:r>
              <w:rPr>
                <w:b/>
                <w:color w:val="8899AA"/>
                <w:sz w:val="16"/>
              </w:rPr>
              <w:t>Total Spend</w:t>
            </w:r>
          </w:p>
          <w:p>
            <w:pPr>
              <w:spacing w:after="80"/>
              <w:jc w:val="center"/>
            </w:pPr>
            <w:r>
              <w:rPr>
                <w:color w:val="C8A840"/>
                <w:sz w:val="16"/>
              </w:rPr>
              <w:t>vs £403 in April</w:t>
            </w:r>
          </w:p>
        </w:tc>
        <w:tc>
          <w:tcPr>
            <w:tcW w:type="dxa" w:w="3324"/>
            <w:shd w:val="clear" w:color="auto" w:fill="C8F0D0"/>
          </w:tcPr>
          <w:p>
            <w:pPr>
              <w:jc w:val="center"/>
            </w:pPr>
            <w:r>
              <w:rPr>
                <w:b/>
                <w:color w:val="0A5A20"/>
                <w:sz w:val="36"/>
              </w:rPr>
              <w:t>90%</w:t>
            </w:r>
          </w:p>
          <w:p>
            <w:pPr>
              <w:jc w:val="center"/>
            </w:pPr>
            <w:r>
              <w:rPr>
                <w:b/>
                <w:color w:val="8899AA"/>
                <w:sz w:val="16"/>
              </w:rPr>
              <w:t>Optimisation Score</w:t>
            </w:r>
          </w:p>
          <w:p>
            <w:pPr>
              <w:spacing w:after="80"/>
              <w:jc w:val="center"/>
            </w:pPr>
            <w:r>
              <w:rPr>
                <w:color w:val="C8A840"/>
                <w:sz w:val="16"/>
              </w:rPr>
              <w:t>↑ from 74.4% in April</w:t>
            </w:r>
          </w:p>
        </w:tc>
      </w:tr>
    </w:tbl>
    <w:p/>
    <w:p>
      <w:pPr>
        <w:spacing w:before="120" w:after="80"/>
      </w:pPr>
      <w:r>
        <w:rPr>
          <w:b/>
          <w:i w:val="0"/>
          <w:color w:val="C8A840"/>
          <w:sz w:val="17"/>
        </w:rPr>
        <w:t>KEY INSIGHTS</w:t>
      </w:r>
    </w:p>
    <w:tbl>
      <w:tblPr>
        <w:tblW w:type="auto" w:w="0"/>
        <w:tblLook w:firstColumn="1" w:firstRow="1" w:lastColumn="0" w:lastRow="0" w:noHBand="0" w:noVBand="1" w:val="04A0"/>
      </w:tblPr>
      <w:tblGrid>
        <w:gridCol w:w="3324"/>
        <w:gridCol w:w="3324"/>
        <w:gridCol w:w="3324"/>
      </w:tblGrid>
      <w:tr>
        <w:tc>
          <w:tcPr>
            <w:tcW w:type="dxa" w:w="3324"/>
            <w:shd w:val="clear" w:color="auto" w:fill="E8F8EE"/>
            <w:tcBorders>
              <w:left w:val="single" w:sz="16" w:color="1a8a3a"/>
            </w:tcBorders>
          </w:tcPr>
          <w:p>
            <w:pPr>
              <w:spacing w:before="80"/>
              <w:ind w:left="113"/>
            </w:pPr>
            <w:r>
              <w:rPr>
                <w:b/>
                <w:color w:val="0A5A20"/>
                <w:sz w:val="17"/>
              </w:rPr>
              <w:t>✓  CTR Up 44% MoM — 2.8× UK Benchmark</w:t>
            </w:r>
          </w:p>
          <w:p>
            <w:pPr>
              <w:spacing w:after="120"/>
              <w:ind w:left="113" w:right="113"/>
            </w:pPr>
            <w:r>
              <w:rPr>
                <w:color w:val="1A2A3A"/>
                <w:sz w:val="17"/>
              </w:rPr>
              <w:t>CTR improved from 9.13% in April to 13.12% in May — a 44% month-on-month increase. Click volume rose 69% (215 → 363). Campaign is running at nearly 3× the UK Google Ads benchmark of 4.7%.</w:t>
            </w:r>
          </w:p>
        </w:tc>
        <w:tc>
          <w:tcPr>
            <w:tcW w:type="dxa" w:w="3324"/>
            <w:shd w:val="clear" w:color="auto" w:fill="FDF8EC"/>
            <w:tcBorders>
              <w:left w:val="single" w:sz="16" w:color="c8900a"/>
            </w:tcBorders>
          </w:tcPr>
          <w:p>
            <w:pPr>
              <w:spacing w:before="80"/>
              <w:ind w:left="113"/>
            </w:pPr>
            <w:r>
              <w:rPr>
                <w:b/>
                <w:color w:val="7A5500"/>
                <w:sz w:val="17"/>
              </w:rPr>
              <w:t>⚠  1 Booking — Landing Page Explains Gap</w:t>
            </w:r>
          </w:p>
          <w:p>
            <w:pPr>
              <w:spacing w:after="120"/>
              <w:ind w:left="113" w:right="113"/>
            </w:pPr>
            <w:r>
              <w:rPr>
                <w:color w:val="1A2A3A"/>
                <w:sz w:val="17"/>
              </w:rPr>
              <w:t>One confirmed valuation booking in May. The April mobile form failure persisted through May meaning 363 clicks converted below potential. New landing page launched 2 June resolves this.</w:t>
            </w:r>
          </w:p>
        </w:tc>
        <w:tc>
          <w:tcPr>
            <w:tcW w:type="dxa" w:w="3324"/>
            <w:shd w:val="clear" w:color="auto" w:fill="EEF4FB"/>
            <w:tcBorders>
              <w:left w:val="single" w:sz="16" w:color="0d2045"/>
            </w:tcBorders>
          </w:tcPr>
          <w:p>
            <w:pPr>
              <w:spacing w:before="80"/>
              <w:ind w:left="113"/>
            </w:pPr>
            <w:r>
              <w:rPr>
                <w:b/>
                <w:color w:val="0D2045"/>
                <w:sz w:val="17"/>
              </w:rPr>
              <w:t>ℹ  Budget Capping Growth — 20% Impression Share</w:t>
            </w:r>
          </w:p>
          <w:p>
            <w:pPr>
              <w:spacing w:after="120"/>
              <w:ind w:left="113" w:right="113"/>
            </w:pPr>
            <w:r>
              <w:rPr>
                <w:color w:val="1A2A3A"/>
                <w:sz w:val="17"/>
              </w:rPr>
              <w:t>Campaign flagged as Limited by budget throughout May. April impression share was 20.26% vs 30–50% local agent typical. Rightmove and Zoopla are absent from valuation-intent auctions.</w:t>
            </w:r>
          </w:p>
        </w:tc>
      </w:tr>
    </w:tbl>
    <w:p>
      <w:pPr>
        <w:spacing w:before="40" w:after="160"/>
        <w:pBdr>
          <w:bottom w:val="single" w:sz="4" w:color="C8A840"/>
        </w:pBdr>
      </w:pPr>
    </w:p>
    <w:p>
      <w:pPr>
        <w:spacing w:before="280" w:after="160"/>
        <w:pBdr>
          <w:bottom w:val="single" w:sz="6" w:color="C8A840"/>
        </w:pBdr>
      </w:pPr>
      <w:r>
        <w:rPr>
          <w:b/>
          <w:color w:val="C8A840"/>
          <w:sz w:val="22"/>
        </w:rPr>
        <w:t xml:space="preserve">1.  </w:t>
      </w:r>
      <w:r>
        <w:rPr>
          <w:b/>
          <w:color w:val="0D2045"/>
          <w:sz w:val="22"/>
        </w:rPr>
        <w:t>MONTH-ON-MONTH PERFORMANCE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0d2045"/>
            <w:vAlign w:val="center"/>
          </w:tcPr>
          <w:p>
            <w:pPr>
              <w:jc w:val="left"/>
            </w:pPr>
            <w:r>
              <w:rPr>
                <w:b/>
                <w:i w:val="0"/>
                <w:color w:val="FFFFFF"/>
                <w:sz w:val="17"/>
              </w:rPr>
              <w:t>Metric</w:t>
            </w:r>
          </w:p>
        </w:tc>
        <w:tc>
          <w:tcPr>
            <w:tcW w:type="dxa" w:w="2493"/>
            <w:shd w:val="clear" w:color="auto" w:fill="0d2045"/>
            <w:vAlign w:val="center"/>
          </w:tcPr>
          <w:p>
            <w:pPr>
              <w:jc w:val="left"/>
            </w:pPr>
            <w:r>
              <w:rPr>
                <w:b/>
                <w:i w:val="0"/>
                <w:color w:val="FFFFFF"/>
                <w:sz w:val="17"/>
              </w:rPr>
              <w:t>April 2026</w:t>
            </w:r>
          </w:p>
        </w:tc>
        <w:tc>
          <w:tcPr>
            <w:tcW w:type="dxa" w:w="2493"/>
            <w:shd w:val="clear" w:color="auto" w:fill="0d2045"/>
            <w:vAlign w:val="center"/>
          </w:tcPr>
          <w:p>
            <w:pPr>
              <w:jc w:val="left"/>
            </w:pPr>
            <w:r>
              <w:rPr>
                <w:b/>
                <w:i w:val="0"/>
                <w:color w:val="FFFFFF"/>
                <w:sz w:val="17"/>
              </w:rPr>
              <w:t>May 2026</w:t>
            </w:r>
          </w:p>
        </w:tc>
        <w:tc>
          <w:tcPr>
            <w:tcW w:type="dxa" w:w="2493"/>
            <w:shd w:val="clear" w:color="auto" w:fill="0d2045"/>
            <w:vAlign w:val="center"/>
          </w:tcPr>
          <w:p>
            <w:pPr>
              <w:jc w:val="left"/>
            </w:pPr>
            <w:r>
              <w:rPr>
                <w:b/>
                <w:i w:val="0"/>
                <w:color w:val="FFFFFF"/>
                <w:sz w:val="17"/>
              </w:rPr>
              <w:t>Change</w:t>
            </w:r>
          </w:p>
        </w:tc>
      </w:tr>
      <w:tr>
        <w:tc>
          <w:tcPr>
            <w:tcW w:type="dxa" w:w="2493"/>
            <w:shd w:val="clear" w:color="auto" w:fill="F7F9FD"/>
            <w:vAlign w:val="center"/>
          </w:tcPr>
          <w:p>
            <w:pPr>
              <w:jc w:val="left"/>
            </w:pPr>
            <w:r>
              <w:rPr>
                <w:b w:val="0"/>
                <w:i w:val="0"/>
                <w:color w:val="1A2A3A"/>
                <w:sz w:val="18"/>
              </w:rPr>
              <w:t>Clicks</w:t>
            </w:r>
          </w:p>
        </w:tc>
        <w:tc>
          <w:tcPr>
            <w:tcW w:type="dxa" w:w="2493"/>
            <w:shd w:val="clear" w:color="auto" w:fill="F7F9FD"/>
            <w:vAlign w:val="center"/>
          </w:tcPr>
          <w:p>
            <w:pPr>
              <w:jc w:val="left"/>
            </w:pPr>
            <w:r>
              <w:rPr>
                <w:b w:val="0"/>
                <w:i w:val="0"/>
                <w:color w:val="1A2A3A"/>
                <w:sz w:val="18"/>
              </w:rPr>
              <w:t>215</w:t>
            </w:r>
          </w:p>
        </w:tc>
        <w:tc>
          <w:tcPr>
            <w:tcW w:type="dxa" w:w="2493"/>
            <w:shd w:val="clear" w:color="auto" w:fill="F7F9FD"/>
            <w:vAlign w:val="center"/>
          </w:tcPr>
          <w:p>
            <w:pPr>
              <w:jc w:val="left"/>
            </w:pPr>
            <w:r>
              <w:rPr>
                <w:b w:val="0"/>
                <w:i w:val="0"/>
                <w:color w:val="0A5A20"/>
                <w:sz w:val="18"/>
              </w:rPr>
              <w:t>363</w:t>
            </w:r>
          </w:p>
        </w:tc>
        <w:tc>
          <w:tcPr>
            <w:tcW w:type="dxa" w:w="2493"/>
            <w:shd w:val="clear" w:color="auto" w:fill="F7F9FD"/>
            <w:vAlign w:val="center"/>
          </w:tcPr>
          <w:p>
            <w:pPr>
              <w:jc w:val="left"/>
            </w:pPr>
            <w:r>
              <w:rPr>
                <w:b/>
                <w:i w:val="0"/>
                <w:color w:val="0A5A20"/>
                <w:sz w:val="18"/>
              </w:rPr>
              <w:t>+148 (+69%)</w:t>
            </w:r>
          </w:p>
        </w:tc>
      </w:tr>
      <w:tr>
        <w:tc>
          <w:tcPr>
            <w:tcW w:type="dxa" w:w="2493"/>
            <w:shd w:val="clear" w:color="auto" w:fill="FFFFFF"/>
            <w:vAlign w:val="center"/>
          </w:tcPr>
          <w:p>
            <w:pPr>
              <w:jc w:val="left"/>
            </w:pPr>
            <w:r>
              <w:rPr>
                <w:b w:val="0"/>
                <w:i w:val="0"/>
                <w:color w:val="1A2A3A"/>
                <w:sz w:val="18"/>
              </w:rPr>
              <w:t>Impressions</w:t>
            </w:r>
          </w:p>
        </w:tc>
        <w:tc>
          <w:tcPr>
            <w:tcW w:type="dxa" w:w="2493"/>
            <w:shd w:val="clear" w:color="auto" w:fill="FFFFFF"/>
            <w:vAlign w:val="center"/>
          </w:tcPr>
          <w:p>
            <w:pPr>
              <w:jc w:val="left"/>
            </w:pPr>
            <w:r>
              <w:rPr>
                <w:b w:val="0"/>
                <w:i w:val="0"/>
                <w:color w:val="1A2A3A"/>
                <w:sz w:val="18"/>
              </w:rPr>
              <w:t>—</w:t>
            </w:r>
          </w:p>
        </w:tc>
        <w:tc>
          <w:tcPr>
            <w:tcW w:type="dxa" w:w="2493"/>
            <w:shd w:val="clear" w:color="auto" w:fill="FFFFFF"/>
            <w:vAlign w:val="center"/>
          </w:tcPr>
          <w:p>
            <w:pPr>
              <w:jc w:val="left"/>
            </w:pPr>
            <w:r>
              <w:rPr>
                <w:b w:val="0"/>
                <w:i w:val="0"/>
                <w:color w:val="1A2A3A"/>
                <w:sz w:val="18"/>
              </w:rPr>
              <w:t>2,766</w:t>
            </w:r>
          </w:p>
        </w:tc>
        <w:tc>
          <w:tcPr>
            <w:tcW w:type="dxa" w:w="2493"/>
            <w:shd w:val="clear" w:color="auto" w:fill="FFFFFF"/>
            <w:vAlign w:val="center"/>
          </w:tcPr>
          <w:p>
            <w:pPr>
              <w:jc w:val="left"/>
            </w:pPr>
            <w:r>
              <w:rPr>
                <w:b w:val="0"/>
                <w:i w:val="0"/>
                <w:color w:val="1A2A3A"/>
                <w:sz w:val="18"/>
              </w:rPr>
              <w:t>—</w:t>
            </w:r>
          </w:p>
        </w:tc>
      </w:tr>
      <w:tr>
        <w:tc>
          <w:tcPr>
            <w:tcW w:type="dxa" w:w="2493"/>
            <w:shd w:val="clear" w:color="auto" w:fill="F7F9FD"/>
            <w:vAlign w:val="center"/>
          </w:tcPr>
          <w:p>
            <w:pPr>
              <w:jc w:val="left"/>
            </w:pPr>
            <w:r>
              <w:rPr>
                <w:b w:val="0"/>
                <w:i w:val="0"/>
                <w:color w:val="1A2A3A"/>
                <w:sz w:val="18"/>
              </w:rPr>
              <w:t>CTR</w:t>
            </w:r>
          </w:p>
        </w:tc>
        <w:tc>
          <w:tcPr>
            <w:tcW w:type="dxa" w:w="2493"/>
            <w:shd w:val="clear" w:color="auto" w:fill="F7F9FD"/>
            <w:vAlign w:val="center"/>
          </w:tcPr>
          <w:p>
            <w:pPr>
              <w:jc w:val="left"/>
            </w:pPr>
            <w:r>
              <w:rPr>
                <w:b w:val="0"/>
                <w:i w:val="0"/>
                <w:color w:val="1A2A3A"/>
                <w:sz w:val="18"/>
              </w:rPr>
              <w:t>9.13%</w:t>
            </w:r>
          </w:p>
        </w:tc>
        <w:tc>
          <w:tcPr>
            <w:tcW w:type="dxa" w:w="2493"/>
            <w:shd w:val="clear" w:color="auto" w:fill="F7F9FD"/>
            <w:vAlign w:val="center"/>
          </w:tcPr>
          <w:p>
            <w:pPr>
              <w:jc w:val="left"/>
            </w:pPr>
            <w:r>
              <w:rPr>
                <w:b w:val="0"/>
                <w:i w:val="0"/>
                <w:color w:val="0A5A20"/>
                <w:sz w:val="18"/>
              </w:rPr>
              <w:t>13.12%</w:t>
            </w:r>
          </w:p>
        </w:tc>
        <w:tc>
          <w:tcPr>
            <w:tcW w:type="dxa" w:w="2493"/>
            <w:shd w:val="clear" w:color="auto" w:fill="F7F9FD"/>
            <w:vAlign w:val="center"/>
          </w:tcPr>
          <w:p>
            <w:pPr>
              <w:jc w:val="left"/>
            </w:pPr>
            <w:r>
              <w:rPr>
                <w:b/>
                <w:i w:val="0"/>
                <w:color w:val="0A5A20"/>
                <w:sz w:val="18"/>
              </w:rPr>
              <w:t>+3.99pp (+44%)</w:t>
            </w:r>
          </w:p>
        </w:tc>
      </w:tr>
      <w:tr>
        <w:tc>
          <w:tcPr>
            <w:tcW w:type="dxa" w:w="2493"/>
            <w:shd w:val="clear" w:color="auto" w:fill="FFFFFF"/>
            <w:vAlign w:val="center"/>
          </w:tcPr>
          <w:p>
            <w:pPr>
              <w:jc w:val="left"/>
            </w:pPr>
            <w:r>
              <w:rPr>
                <w:b w:val="0"/>
                <w:i w:val="0"/>
                <w:color w:val="1A2A3A"/>
                <w:sz w:val="18"/>
              </w:rPr>
              <w:t>Avg. CPC</w:t>
            </w:r>
          </w:p>
        </w:tc>
        <w:tc>
          <w:tcPr>
            <w:tcW w:type="dxa" w:w="2493"/>
            <w:shd w:val="clear" w:color="auto" w:fill="FFFFFF"/>
            <w:vAlign w:val="center"/>
          </w:tcPr>
          <w:p>
            <w:pPr>
              <w:jc w:val="left"/>
            </w:pPr>
            <w:r>
              <w:rPr>
                <w:b w:val="0"/>
                <w:i w:val="0"/>
                <w:color w:val="1A2A3A"/>
                <w:sz w:val="18"/>
              </w:rPr>
              <w:t>£1.87</w:t>
            </w:r>
          </w:p>
        </w:tc>
        <w:tc>
          <w:tcPr>
            <w:tcW w:type="dxa" w:w="2493"/>
            <w:shd w:val="clear" w:color="auto" w:fill="FFFFFF"/>
            <w:vAlign w:val="center"/>
          </w:tcPr>
          <w:p>
            <w:pPr>
              <w:jc w:val="left"/>
            </w:pPr>
            <w:r>
              <w:rPr>
                <w:b w:val="0"/>
                <w:i w:val="0"/>
                <w:color w:val="1A2A3A"/>
                <w:sz w:val="18"/>
              </w:rPr>
              <w:t>[ADD]</w:t>
            </w:r>
          </w:p>
        </w:tc>
        <w:tc>
          <w:tcPr>
            <w:tcW w:type="dxa" w:w="2493"/>
            <w:shd w:val="clear" w:color="auto" w:fill="FFFFFF"/>
            <w:vAlign w:val="center"/>
          </w:tcPr>
          <w:p>
            <w:pPr>
              <w:jc w:val="left"/>
            </w:pPr>
            <w:r>
              <w:rPr>
                <w:b w:val="0"/>
                <w:i w:val="0"/>
                <w:color w:val="1A2A3A"/>
                <w:sz w:val="18"/>
              </w:rPr>
              <w:t>[ADD]</w:t>
            </w:r>
          </w:p>
        </w:tc>
      </w:tr>
      <w:tr>
        <w:tc>
          <w:tcPr>
            <w:tcW w:type="dxa" w:w="2493"/>
            <w:shd w:val="clear" w:color="auto" w:fill="F7F9FD"/>
            <w:vAlign w:val="center"/>
          </w:tcPr>
          <w:p>
            <w:pPr>
              <w:jc w:val="left"/>
            </w:pPr>
            <w:r>
              <w:rPr>
                <w:b w:val="0"/>
                <w:i w:val="0"/>
                <w:color w:val="1A2A3A"/>
                <w:sz w:val="18"/>
              </w:rPr>
              <w:t>Total Spend</w:t>
            </w:r>
          </w:p>
        </w:tc>
        <w:tc>
          <w:tcPr>
            <w:tcW w:type="dxa" w:w="2493"/>
            <w:shd w:val="clear" w:color="auto" w:fill="F7F9FD"/>
            <w:vAlign w:val="center"/>
          </w:tcPr>
          <w:p>
            <w:pPr>
              <w:jc w:val="left"/>
            </w:pPr>
            <w:r>
              <w:rPr>
                <w:b w:val="0"/>
                <w:i w:val="0"/>
                <w:color w:val="1A2A3A"/>
                <w:sz w:val="18"/>
              </w:rPr>
              <w:t>£403</w:t>
            </w:r>
          </w:p>
        </w:tc>
        <w:tc>
          <w:tcPr>
            <w:tcW w:type="dxa" w:w="2493"/>
            <w:shd w:val="clear" w:color="auto" w:fill="F7F9FD"/>
            <w:vAlign w:val="center"/>
          </w:tcPr>
          <w:p>
            <w:pPr>
              <w:jc w:val="left"/>
            </w:pPr>
            <w:r>
              <w:rPr>
                <w:b w:val="0"/>
                <w:i w:val="0"/>
                <w:color w:val="1A2A3A"/>
                <w:sz w:val="18"/>
              </w:rPr>
              <w:t>[ADD]</w:t>
            </w:r>
          </w:p>
        </w:tc>
        <w:tc>
          <w:tcPr>
            <w:tcW w:type="dxa" w:w="2493"/>
            <w:shd w:val="clear" w:color="auto" w:fill="F7F9FD"/>
            <w:vAlign w:val="center"/>
          </w:tcPr>
          <w:p>
            <w:pPr>
              <w:jc w:val="left"/>
            </w:pPr>
            <w:r>
              <w:rPr>
                <w:b w:val="0"/>
                <w:i w:val="0"/>
                <w:color w:val="1A2A3A"/>
                <w:sz w:val="18"/>
              </w:rPr>
              <w:t>[ADD]</w:t>
            </w:r>
          </w:p>
        </w:tc>
      </w:tr>
      <w:tr>
        <w:tc>
          <w:tcPr>
            <w:tcW w:type="dxa" w:w="2493"/>
            <w:shd w:val="clear" w:color="auto" w:fill="FFFFFF"/>
            <w:vAlign w:val="center"/>
          </w:tcPr>
          <w:p>
            <w:pPr>
              <w:jc w:val="left"/>
            </w:pPr>
            <w:r>
              <w:rPr>
                <w:b w:val="0"/>
                <w:i w:val="0"/>
                <w:color w:val="1A2A3A"/>
                <w:sz w:val="18"/>
              </w:rPr>
              <w:t>Optimisation Score</w:t>
            </w:r>
          </w:p>
        </w:tc>
        <w:tc>
          <w:tcPr>
            <w:tcW w:type="dxa" w:w="2493"/>
            <w:shd w:val="clear" w:color="auto" w:fill="FFFFFF"/>
            <w:vAlign w:val="center"/>
          </w:tcPr>
          <w:p>
            <w:pPr>
              <w:jc w:val="left"/>
            </w:pPr>
            <w:r>
              <w:rPr>
                <w:b w:val="0"/>
                <w:i w:val="0"/>
                <w:color w:val="1A2A3A"/>
                <w:sz w:val="18"/>
              </w:rPr>
              <w:t>74.4%</w:t>
            </w:r>
          </w:p>
        </w:tc>
        <w:tc>
          <w:tcPr>
            <w:tcW w:type="dxa" w:w="2493"/>
            <w:shd w:val="clear" w:color="auto" w:fill="FFFFFF"/>
            <w:vAlign w:val="center"/>
          </w:tcPr>
          <w:p>
            <w:pPr>
              <w:jc w:val="left"/>
            </w:pPr>
            <w:r>
              <w:rPr>
                <w:b w:val="0"/>
                <w:i w:val="0"/>
                <w:color w:val="0A5A20"/>
                <w:sz w:val="18"/>
              </w:rPr>
              <w:t>90%</w:t>
            </w:r>
          </w:p>
        </w:tc>
        <w:tc>
          <w:tcPr>
            <w:tcW w:type="dxa" w:w="2493"/>
            <w:shd w:val="clear" w:color="auto" w:fill="FFFFFF"/>
            <w:vAlign w:val="center"/>
          </w:tcPr>
          <w:p>
            <w:pPr>
              <w:jc w:val="left"/>
            </w:pPr>
            <w:r>
              <w:rPr>
                <w:b/>
                <w:i w:val="0"/>
                <w:color w:val="0A5A20"/>
                <w:sz w:val="18"/>
              </w:rPr>
              <w:t>+15.6pp</w:t>
            </w:r>
          </w:p>
        </w:tc>
      </w:tr>
      <w:tr>
        <w:tc>
          <w:tcPr>
            <w:tcW w:type="dxa" w:w="2493"/>
            <w:shd w:val="clear" w:color="auto" w:fill="F7F9FD"/>
            <w:vAlign w:val="center"/>
          </w:tcPr>
          <w:p>
            <w:pPr>
              <w:jc w:val="left"/>
            </w:pPr>
            <w:r>
              <w:rPr>
                <w:b w:val="0"/>
                <w:i w:val="0"/>
                <w:color w:val="1A2A3A"/>
                <w:sz w:val="18"/>
              </w:rPr>
              <w:t>Impression Share</w:t>
            </w:r>
          </w:p>
        </w:tc>
        <w:tc>
          <w:tcPr>
            <w:tcW w:type="dxa" w:w="2493"/>
            <w:shd w:val="clear" w:color="auto" w:fill="F7F9FD"/>
            <w:vAlign w:val="center"/>
          </w:tcPr>
          <w:p>
            <w:pPr>
              <w:jc w:val="left"/>
            </w:pPr>
            <w:r>
              <w:rPr>
                <w:b w:val="0"/>
                <w:i w:val="0"/>
                <w:color w:val="1A2A3A"/>
                <w:sz w:val="18"/>
              </w:rPr>
              <w:t>20.26%</w:t>
            </w:r>
          </w:p>
        </w:tc>
        <w:tc>
          <w:tcPr>
            <w:tcW w:type="dxa" w:w="2493"/>
            <w:shd w:val="clear" w:color="auto" w:fill="F7F9FD"/>
            <w:vAlign w:val="center"/>
          </w:tcPr>
          <w:p>
            <w:pPr>
              <w:jc w:val="left"/>
            </w:pPr>
            <w:r>
              <w:rPr>
                <w:b w:val="0"/>
                <w:i w:val="0"/>
                <w:color w:val="1A2A3A"/>
                <w:sz w:val="18"/>
              </w:rPr>
              <w:t>[ADD]</w:t>
            </w:r>
          </w:p>
        </w:tc>
        <w:tc>
          <w:tcPr>
            <w:tcW w:type="dxa" w:w="2493"/>
            <w:shd w:val="clear" w:color="auto" w:fill="F7F9FD"/>
            <w:vAlign w:val="center"/>
          </w:tcPr>
          <w:p>
            <w:pPr>
              <w:jc w:val="left"/>
            </w:pPr>
            <w:r>
              <w:rPr>
                <w:b w:val="0"/>
                <w:i w:val="0"/>
                <w:color w:val="1A2A3A"/>
                <w:sz w:val="18"/>
              </w:rPr>
              <w:t>[ADD]</w:t>
            </w:r>
          </w:p>
        </w:tc>
      </w:tr>
      <w:tr>
        <w:tc>
          <w:tcPr>
            <w:tcW w:type="dxa" w:w="2493"/>
            <w:shd w:val="clear" w:color="auto" w:fill="FFFFFF"/>
            <w:vAlign w:val="center"/>
          </w:tcPr>
          <w:p>
            <w:pPr>
              <w:jc w:val="left"/>
            </w:pPr>
            <w:r>
              <w:rPr>
                <w:b w:val="0"/>
                <w:i w:val="0"/>
                <w:color w:val="1A2A3A"/>
                <w:sz w:val="18"/>
              </w:rPr>
              <w:t>Landing Page Conv. Rate</w:t>
            </w:r>
          </w:p>
        </w:tc>
        <w:tc>
          <w:tcPr>
            <w:tcW w:type="dxa" w:w="2493"/>
            <w:shd w:val="clear" w:color="auto" w:fill="FFFFFF"/>
            <w:vAlign w:val="center"/>
          </w:tcPr>
          <w:p>
            <w:pPr>
              <w:jc w:val="left"/>
            </w:pPr>
            <w:r>
              <w:rPr>
                <w:b w:val="0"/>
                <w:i w:val="0"/>
                <w:color w:val="1A2A3A"/>
                <w:sz w:val="18"/>
              </w:rPr>
              <w:t>1.9–2.8%</w:t>
            </w:r>
          </w:p>
        </w:tc>
        <w:tc>
          <w:tcPr>
            <w:tcW w:type="dxa" w:w="2493"/>
            <w:shd w:val="clear" w:color="auto" w:fill="FFFFFF"/>
            <w:vAlign w:val="center"/>
          </w:tcPr>
          <w:p>
            <w:pPr>
              <w:jc w:val="left"/>
            </w:pPr>
            <w:r>
              <w:rPr>
                <w:b w:val="0"/>
                <w:i w:val="0"/>
                <w:color w:val="1A2A3A"/>
                <w:sz w:val="18"/>
              </w:rPr>
              <w:t>Page views only*</w:t>
            </w:r>
          </w:p>
        </w:tc>
        <w:tc>
          <w:tcPr>
            <w:tcW w:type="dxa" w:w="2493"/>
            <w:shd w:val="clear" w:color="auto" w:fill="FFFFFF"/>
            <w:vAlign w:val="center"/>
          </w:tcPr>
          <w:p>
            <w:pPr>
              <w:jc w:val="left"/>
            </w:pPr>
            <w:r>
              <w:rPr>
                <w:b w:val="0"/>
                <w:i w:val="0"/>
                <w:color w:val="1A2A3A"/>
                <w:sz w:val="18"/>
              </w:rPr>
              <w:t>Issue persisted</w:t>
            </w:r>
          </w:p>
        </w:tc>
      </w:tr>
      <w:tr>
        <w:tc>
          <w:tcPr>
            <w:tcW w:type="dxa" w:w="2493"/>
            <w:shd w:val="clear" w:color="auto" w:fill="0d2045"/>
            <w:vAlign w:val="center"/>
          </w:tcPr>
          <w:p>
            <w:pPr>
              <w:jc w:val="left"/>
            </w:pPr>
            <w:r>
              <w:rPr>
                <w:b/>
                <w:i w:val="0"/>
                <w:color w:val="FFFFFF"/>
                <w:sz w:val="18"/>
              </w:rPr>
              <w:t>Bookings Confirmed</w:t>
            </w:r>
          </w:p>
        </w:tc>
        <w:tc>
          <w:tcPr>
            <w:tcW w:type="dxa" w:w="2493"/>
            <w:shd w:val="clear" w:color="auto" w:fill="0d2045"/>
            <w:vAlign w:val="center"/>
          </w:tcPr>
          <w:p>
            <w:pPr>
              <w:jc w:val="left"/>
            </w:pPr>
            <w:r>
              <w:rPr>
                <w:b w:val="0"/>
                <w:i w:val="0"/>
                <w:color w:val="FFFFFF"/>
                <w:sz w:val="18"/>
              </w:rPr>
              <w:t>4–6 provisional</w:t>
            </w:r>
          </w:p>
        </w:tc>
        <w:tc>
          <w:tcPr>
            <w:tcW w:type="dxa" w:w="2493"/>
            <w:shd w:val="clear" w:color="auto" w:fill="0d2045"/>
            <w:vAlign w:val="center"/>
          </w:tcPr>
          <w:p>
            <w:pPr>
              <w:jc w:val="left"/>
            </w:pPr>
            <w:r>
              <w:rPr>
                <w:b/>
                <w:i w:val="0"/>
                <w:color w:val="FFFFFF"/>
                <w:sz w:val="18"/>
              </w:rPr>
              <w:t>1 ✓ Confirmed</w:t>
            </w:r>
          </w:p>
        </w:tc>
        <w:tc>
          <w:tcPr>
            <w:tcW w:type="dxa" w:w="2493"/>
            <w:shd w:val="clear" w:color="auto" w:fill="0d2045"/>
            <w:vAlign w:val="center"/>
          </w:tcPr>
          <w:p>
            <w:pPr>
              <w:jc w:val="left"/>
            </w:pPr>
            <w:r>
              <w:rPr>
                <w:b w:val="0"/>
                <w:i w:val="0"/>
                <w:color w:val="FFFFFF"/>
                <w:sz w:val="18"/>
              </w:rPr>
              <w:t>—</w:t>
            </w:r>
          </w:p>
        </w:tc>
      </w:tr>
    </w:tbl>
    <w:p/>
    <w:tbl>
      <w:tblPr>
        <w:tblW w:type="auto" w:w="0"/>
        <w:tblLook w:firstColumn="1" w:firstRow="1" w:lastColumn="0" w:lastRow="0" w:noHBand="0" w:noVBand="1" w:val="04A0"/>
      </w:tblPr>
      <w:tblGrid>
        <w:gridCol w:w="9972"/>
      </w:tblGrid>
      <w:tr>
        <w:tc>
          <w:tcPr>
            <w:tcW w:type="dxa" w:w="9972"/>
            <w:shd w:val="clear" w:color="auto" w:fill="FDF8EC"/>
            <w:tcBorders>
              <w:left w:val="single" w:sz="12" w:color="C8A840"/>
            </w:tcBorders>
          </w:tcPr>
          <w:p>
            <w:pPr>
              <w:spacing w:before="80" w:after="80"/>
              <w:ind w:left="170"/>
            </w:pPr>
            <w:r>
              <w:rPr>
                <w:color w:val="5A4000"/>
                <w:sz w:val="17"/>
              </w:rPr>
              <w:t>* The drop from 4–6 provisional April bookings to 1 confirmed May booking reflects the landing page conversion failure, not reduced ad performance. Click volume grew 69% month-on-month. April bookings remain unconfirmed and were flagged as provisional pending client meeting.</w:t>
            </w:r>
          </w:p>
        </w:tc>
      </w:tr>
    </w:tbl>
    <w:p>
      <w:pPr>
        <w:spacing w:before="40" w:after="160"/>
        <w:pBdr>
          <w:bottom w:val="single" w:sz="4" w:color="C8A840"/>
        </w:pBdr>
      </w:pPr>
    </w:p>
    <w:p>
      <w:pPr>
        <w:spacing w:before="280" w:after="160"/>
        <w:pBdr>
          <w:bottom w:val="single" w:sz="6" w:color="C8A840"/>
        </w:pBdr>
      </w:pPr>
      <w:r>
        <w:rPr>
          <w:b/>
          <w:color w:val="C8A840"/>
          <w:sz w:val="22"/>
        </w:rPr>
        <w:t xml:space="preserve">2.  </w:t>
      </w:r>
      <w:r>
        <w:rPr>
          <w:b/>
          <w:color w:val="0D2045"/>
          <w:sz w:val="22"/>
        </w:rPr>
        <w:t>BENCHMARK SCORECARD VS. UK INDUSTRY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d2045"/>
            <w:vAlign w:val="center"/>
          </w:tcPr>
          <w:p>
            <w:pPr>
              <w:jc w:val="left"/>
            </w:pPr>
            <w:r>
              <w:rPr>
                <w:b/>
                <w:i w:val="0"/>
                <w:color w:val="FFFFFF"/>
                <w:sz w:val="16"/>
              </w:rPr>
              <w:t>Metric</w:t>
            </w:r>
          </w:p>
        </w:tc>
        <w:tc>
          <w:tcPr>
            <w:tcW w:type="dxa" w:w="1994"/>
            <w:shd w:val="clear" w:color="auto" w:fill="0d2045"/>
            <w:vAlign w:val="center"/>
          </w:tcPr>
          <w:p>
            <w:pPr>
              <w:jc w:val="left"/>
            </w:pPr>
            <w:r>
              <w:rPr>
                <w:b/>
                <w:i w:val="0"/>
                <w:color w:val="FFFFFF"/>
                <w:sz w:val="16"/>
              </w:rPr>
              <w:t>May 2026</w:t>
            </w:r>
          </w:p>
        </w:tc>
        <w:tc>
          <w:tcPr>
            <w:tcW w:type="dxa" w:w="1994"/>
            <w:shd w:val="clear" w:color="auto" w:fill="0d2045"/>
            <w:vAlign w:val="center"/>
          </w:tcPr>
          <w:p>
            <w:pPr>
              <w:jc w:val="left"/>
            </w:pPr>
            <w:r>
              <w:rPr>
                <w:b/>
                <w:i w:val="0"/>
                <w:color w:val="FFFFFF"/>
                <w:sz w:val="16"/>
              </w:rPr>
              <w:t>April 2026</w:t>
            </w:r>
          </w:p>
        </w:tc>
        <w:tc>
          <w:tcPr>
            <w:tcW w:type="dxa" w:w="1994"/>
            <w:shd w:val="clear" w:color="auto" w:fill="0d2045"/>
            <w:vAlign w:val="center"/>
          </w:tcPr>
          <w:p>
            <w:pPr>
              <w:jc w:val="left"/>
            </w:pPr>
            <w:r>
              <w:rPr>
                <w:b/>
                <w:i w:val="0"/>
                <w:color w:val="FFFFFF"/>
                <w:sz w:val="16"/>
              </w:rPr>
              <w:t>UK Benchmark</w:t>
            </w:r>
          </w:p>
        </w:tc>
        <w:tc>
          <w:tcPr>
            <w:tcW w:type="dxa" w:w="1994"/>
            <w:shd w:val="clear" w:color="auto" w:fill="0d2045"/>
            <w:vAlign w:val="center"/>
          </w:tcPr>
          <w:p>
            <w:pPr>
              <w:jc w:val="left"/>
            </w:pPr>
            <w:r>
              <w:rPr>
                <w:b/>
                <w:i w:val="0"/>
                <w:color w:val="FFFFFF"/>
                <w:sz w:val="16"/>
              </w:rPr>
              <w:t>vs. Benchmark</w:t>
            </w:r>
          </w:p>
        </w:tc>
      </w:tr>
      <w:tr>
        <w:tc>
          <w:tcPr>
            <w:tcW w:type="dxa" w:w="1994"/>
            <w:shd w:val="clear" w:color="auto" w:fill="F7F9FD"/>
            <w:vAlign w:val="center"/>
          </w:tcPr>
          <w:p>
            <w:pPr>
              <w:jc w:val="left"/>
            </w:pPr>
            <w:r>
              <w:rPr>
                <w:b w:val="0"/>
                <w:i w:val="0"/>
                <w:sz w:val="18"/>
              </w:rPr>
              <w:t>Click-Through Rate (CTR)</w:t>
            </w:r>
          </w:p>
        </w:tc>
        <w:tc>
          <w:tcPr>
            <w:tcW w:type="dxa" w:w="1994"/>
            <w:shd w:val="clear" w:color="auto" w:fill="F7F9FD"/>
            <w:vAlign w:val="center"/>
          </w:tcPr>
          <w:p>
            <w:pPr>
              <w:jc w:val="left"/>
            </w:pPr>
            <w:r>
              <w:rPr>
                <w:b/>
                <w:i w:val="0"/>
                <w:sz w:val="18"/>
              </w:rPr>
              <w:t>13.12%</w:t>
            </w:r>
          </w:p>
        </w:tc>
        <w:tc>
          <w:tcPr>
            <w:tcW w:type="dxa" w:w="1994"/>
            <w:shd w:val="clear" w:color="auto" w:fill="F7F9FD"/>
            <w:vAlign w:val="center"/>
          </w:tcPr>
          <w:p>
            <w:pPr>
              <w:jc w:val="left"/>
            </w:pPr>
            <w:r>
              <w:rPr>
                <w:b w:val="0"/>
                <w:i w:val="0"/>
                <w:sz w:val="18"/>
              </w:rPr>
              <w:t>9.13%</w:t>
            </w:r>
          </w:p>
        </w:tc>
        <w:tc>
          <w:tcPr>
            <w:tcW w:type="dxa" w:w="1994"/>
            <w:shd w:val="clear" w:color="auto" w:fill="F7F9FD"/>
            <w:vAlign w:val="center"/>
          </w:tcPr>
          <w:p>
            <w:pPr>
              <w:jc w:val="left"/>
            </w:pPr>
            <w:r>
              <w:rPr>
                <w:b w:val="0"/>
                <w:i w:val="0"/>
                <w:sz w:val="17"/>
              </w:rPr>
              <w:t>4.7% (UK all-industry avg.)</w:t>
            </w:r>
          </w:p>
        </w:tc>
        <w:tc>
          <w:tcPr>
            <w:tcW w:type="dxa" w:w="1994"/>
            <w:shd w:val="clear" w:color="auto" w:fill="F7F9FD"/>
            <w:vAlign w:val="center"/>
          </w:tcPr>
          <w:p>
            <w:pPr>
              <w:jc w:val="left"/>
            </w:pPr>
            <w:r>
              <w:rPr>
                <w:b/>
                <w:i w:val="0"/>
                <w:color w:val="0A5A20"/>
                <w:sz w:val="17"/>
              </w:rPr>
              <w:t>▲ +179% above average</w:t>
            </w:r>
          </w:p>
        </w:tc>
      </w:tr>
      <w:tr>
        <w:tc>
          <w:tcPr>
            <w:tcW w:type="dxa" w:w="1994"/>
            <w:shd w:val="clear" w:color="auto" w:fill="FFFFFF"/>
            <w:vAlign w:val="center"/>
          </w:tcPr>
          <w:p>
            <w:pPr>
              <w:jc w:val="left"/>
            </w:pPr>
            <w:r>
              <w:rPr>
                <w:b w:val="0"/>
                <w:i w:val="0"/>
                <w:sz w:val="18"/>
              </w:rPr>
              <w:t>Average CPC</w:t>
            </w:r>
          </w:p>
        </w:tc>
        <w:tc>
          <w:tcPr>
            <w:tcW w:type="dxa" w:w="1994"/>
            <w:shd w:val="clear" w:color="auto" w:fill="FFFFFF"/>
            <w:vAlign w:val="center"/>
          </w:tcPr>
          <w:p>
            <w:pPr>
              <w:jc w:val="left"/>
            </w:pPr>
            <w:r>
              <w:rPr>
                <w:b/>
                <w:i w:val="0"/>
                <w:sz w:val="18"/>
              </w:rPr>
              <w:t>[ADD]</w:t>
            </w:r>
          </w:p>
        </w:tc>
        <w:tc>
          <w:tcPr>
            <w:tcW w:type="dxa" w:w="1994"/>
            <w:shd w:val="clear" w:color="auto" w:fill="FFFFFF"/>
            <w:vAlign w:val="center"/>
          </w:tcPr>
          <w:p>
            <w:pPr>
              <w:jc w:val="left"/>
            </w:pPr>
            <w:r>
              <w:rPr>
                <w:b w:val="0"/>
                <w:i w:val="0"/>
                <w:sz w:val="18"/>
              </w:rPr>
              <w:t>£1.87</w:t>
            </w:r>
          </w:p>
        </w:tc>
        <w:tc>
          <w:tcPr>
            <w:tcW w:type="dxa" w:w="1994"/>
            <w:shd w:val="clear" w:color="auto" w:fill="FFFFFF"/>
            <w:vAlign w:val="center"/>
          </w:tcPr>
          <w:p>
            <w:pPr>
              <w:jc w:val="left"/>
            </w:pPr>
            <w:r>
              <w:rPr>
                <w:b w:val="0"/>
                <w:i w:val="0"/>
                <w:sz w:val="17"/>
              </w:rPr>
              <w:t>£1.95 (UK property sector)</w:t>
            </w:r>
          </w:p>
        </w:tc>
        <w:tc>
          <w:tcPr>
            <w:tcW w:type="dxa" w:w="1994"/>
            <w:shd w:val="clear" w:color="auto" w:fill="FFFFFF"/>
            <w:vAlign w:val="center"/>
          </w:tcPr>
          <w:p>
            <w:pPr>
              <w:jc w:val="left"/>
            </w:pPr>
            <w:r>
              <w:rPr>
                <w:b/>
                <w:i w:val="0"/>
                <w:color w:val="0A5A20"/>
                <w:sz w:val="17"/>
              </w:rPr>
              <w:t>▲ Under benchmark (good)</w:t>
            </w:r>
          </w:p>
        </w:tc>
      </w:tr>
      <w:tr>
        <w:tc>
          <w:tcPr>
            <w:tcW w:type="dxa" w:w="1994"/>
            <w:shd w:val="clear" w:color="auto" w:fill="F7F9FD"/>
            <w:vAlign w:val="center"/>
          </w:tcPr>
          <w:p>
            <w:pPr>
              <w:jc w:val="left"/>
            </w:pPr>
            <w:r>
              <w:rPr>
                <w:b w:val="0"/>
                <w:i w:val="0"/>
                <w:sz w:val="18"/>
              </w:rPr>
              <w:t>Optimisation Score</w:t>
            </w:r>
          </w:p>
        </w:tc>
        <w:tc>
          <w:tcPr>
            <w:tcW w:type="dxa" w:w="1994"/>
            <w:shd w:val="clear" w:color="auto" w:fill="F7F9FD"/>
            <w:vAlign w:val="center"/>
          </w:tcPr>
          <w:p>
            <w:pPr>
              <w:jc w:val="left"/>
            </w:pPr>
            <w:r>
              <w:rPr>
                <w:b/>
                <w:i w:val="0"/>
                <w:sz w:val="18"/>
              </w:rPr>
              <w:t>90%</w:t>
            </w:r>
          </w:p>
        </w:tc>
        <w:tc>
          <w:tcPr>
            <w:tcW w:type="dxa" w:w="1994"/>
            <w:shd w:val="clear" w:color="auto" w:fill="F7F9FD"/>
            <w:vAlign w:val="center"/>
          </w:tcPr>
          <w:p>
            <w:pPr>
              <w:jc w:val="left"/>
            </w:pPr>
            <w:r>
              <w:rPr>
                <w:b w:val="0"/>
                <w:i w:val="0"/>
                <w:sz w:val="18"/>
              </w:rPr>
              <w:t>74.4%</w:t>
            </w:r>
          </w:p>
        </w:tc>
        <w:tc>
          <w:tcPr>
            <w:tcW w:type="dxa" w:w="1994"/>
            <w:shd w:val="clear" w:color="auto" w:fill="F7F9FD"/>
            <w:vAlign w:val="center"/>
          </w:tcPr>
          <w:p>
            <w:pPr>
              <w:jc w:val="left"/>
            </w:pPr>
            <w:r>
              <w:rPr>
                <w:b w:val="0"/>
                <w:i w:val="0"/>
                <w:sz w:val="17"/>
              </w:rPr>
              <w:t>80%+ (recommended)</w:t>
            </w:r>
          </w:p>
        </w:tc>
        <w:tc>
          <w:tcPr>
            <w:tcW w:type="dxa" w:w="1994"/>
            <w:shd w:val="clear" w:color="auto" w:fill="F7F9FD"/>
            <w:vAlign w:val="center"/>
          </w:tcPr>
          <w:p>
            <w:pPr>
              <w:jc w:val="left"/>
            </w:pPr>
            <w:r>
              <w:rPr>
                <w:b/>
                <w:i w:val="0"/>
                <w:color w:val="0A5A20"/>
                <w:sz w:val="17"/>
              </w:rPr>
              <w:t>▲ Exceeds target</w:t>
            </w:r>
          </w:p>
        </w:tc>
      </w:tr>
      <w:tr>
        <w:tc>
          <w:tcPr>
            <w:tcW w:type="dxa" w:w="1994"/>
            <w:shd w:val="clear" w:color="auto" w:fill="FFFFFF"/>
            <w:vAlign w:val="center"/>
          </w:tcPr>
          <w:p>
            <w:pPr>
              <w:jc w:val="left"/>
            </w:pPr>
            <w:r>
              <w:rPr>
                <w:b w:val="0"/>
                <w:i w:val="0"/>
                <w:sz w:val="18"/>
              </w:rPr>
              <w:t>Impression Share</w:t>
            </w:r>
          </w:p>
        </w:tc>
        <w:tc>
          <w:tcPr>
            <w:tcW w:type="dxa" w:w="1994"/>
            <w:shd w:val="clear" w:color="auto" w:fill="FFFFFF"/>
            <w:vAlign w:val="center"/>
          </w:tcPr>
          <w:p>
            <w:pPr>
              <w:jc w:val="left"/>
            </w:pPr>
            <w:r>
              <w:rPr>
                <w:b/>
                <w:i w:val="0"/>
                <w:sz w:val="18"/>
              </w:rPr>
              <w:t>[ADD]</w:t>
            </w:r>
          </w:p>
        </w:tc>
        <w:tc>
          <w:tcPr>
            <w:tcW w:type="dxa" w:w="1994"/>
            <w:shd w:val="clear" w:color="auto" w:fill="FFFFFF"/>
            <w:vAlign w:val="center"/>
          </w:tcPr>
          <w:p>
            <w:pPr>
              <w:jc w:val="left"/>
            </w:pPr>
            <w:r>
              <w:rPr>
                <w:b w:val="0"/>
                <w:i w:val="0"/>
                <w:sz w:val="18"/>
              </w:rPr>
              <w:t>20.26%</w:t>
            </w:r>
          </w:p>
        </w:tc>
        <w:tc>
          <w:tcPr>
            <w:tcW w:type="dxa" w:w="1994"/>
            <w:shd w:val="clear" w:color="auto" w:fill="FFFFFF"/>
            <w:vAlign w:val="center"/>
          </w:tcPr>
          <w:p>
            <w:pPr>
              <w:jc w:val="left"/>
            </w:pPr>
            <w:r>
              <w:rPr>
                <w:b w:val="0"/>
                <w:i w:val="0"/>
                <w:sz w:val="17"/>
              </w:rPr>
              <w:t>30–50% (local agent typical)</w:t>
            </w:r>
          </w:p>
        </w:tc>
        <w:tc>
          <w:tcPr>
            <w:tcW w:type="dxa" w:w="1994"/>
            <w:shd w:val="clear" w:color="auto" w:fill="FFFFFF"/>
            <w:vAlign w:val="center"/>
          </w:tcPr>
          <w:p>
            <w:pPr>
              <w:jc w:val="left"/>
            </w:pPr>
            <w:r>
              <w:rPr>
                <w:b/>
                <w:i w:val="0"/>
                <w:color w:val="C8900A"/>
                <w:sz w:val="17"/>
              </w:rPr>
              <w:t>⚠ Budget-capped</w:t>
            </w:r>
          </w:p>
        </w:tc>
      </w:tr>
      <w:tr>
        <w:tc>
          <w:tcPr>
            <w:tcW w:type="dxa" w:w="1994"/>
            <w:shd w:val="clear" w:color="auto" w:fill="F7F9FD"/>
            <w:vAlign w:val="center"/>
          </w:tcPr>
          <w:p>
            <w:pPr>
              <w:jc w:val="left"/>
            </w:pPr>
            <w:r>
              <w:rPr>
                <w:b w:val="0"/>
                <w:i w:val="0"/>
                <w:sz w:val="18"/>
              </w:rPr>
              <w:t>Landing Page Conv. Rate</w:t>
            </w:r>
          </w:p>
        </w:tc>
        <w:tc>
          <w:tcPr>
            <w:tcW w:type="dxa" w:w="1994"/>
            <w:shd w:val="clear" w:color="auto" w:fill="F7F9FD"/>
            <w:vAlign w:val="center"/>
          </w:tcPr>
          <w:p>
            <w:pPr>
              <w:jc w:val="left"/>
            </w:pPr>
            <w:r>
              <w:rPr>
                <w:b/>
                <w:i w:val="0"/>
                <w:sz w:val="18"/>
              </w:rPr>
              <w:t>Page views only</w:t>
            </w:r>
          </w:p>
        </w:tc>
        <w:tc>
          <w:tcPr>
            <w:tcW w:type="dxa" w:w="1994"/>
            <w:shd w:val="clear" w:color="auto" w:fill="F7F9FD"/>
            <w:vAlign w:val="center"/>
          </w:tcPr>
          <w:p>
            <w:pPr>
              <w:jc w:val="left"/>
            </w:pPr>
            <w:r>
              <w:rPr>
                <w:b w:val="0"/>
                <w:i w:val="0"/>
                <w:sz w:val="18"/>
              </w:rPr>
              <w:t>1.9–2.8%</w:t>
            </w:r>
          </w:p>
        </w:tc>
        <w:tc>
          <w:tcPr>
            <w:tcW w:type="dxa" w:w="1994"/>
            <w:shd w:val="clear" w:color="auto" w:fill="F7F9FD"/>
            <w:vAlign w:val="center"/>
          </w:tcPr>
          <w:p>
            <w:pPr>
              <w:jc w:val="left"/>
            </w:pPr>
            <w:r>
              <w:rPr>
                <w:b w:val="0"/>
                <w:i w:val="0"/>
                <w:sz w:val="17"/>
              </w:rPr>
              <w:t>3–8% (estate agent avg.)</w:t>
            </w:r>
          </w:p>
        </w:tc>
        <w:tc>
          <w:tcPr>
            <w:tcW w:type="dxa" w:w="1994"/>
            <w:shd w:val="clear" w:color="auto" w:fill="F7F9FD"/>
            <w:vAlign w:val="center"/>
          </w:tcPr>
          <w:p>
            <w:pPr>
              <w:jc w:val="left"/>
            </w:pPr>
            <w:r>
              <w:rPr>
                <w:b/>
                <w:i w:val="0"/>
                <w:color w:val="C8900A"/>
                <w:sz w:val="17"/>
              </w:rPr>
              <w:t>↗ Fixed 2 June</w:t>
            </w:r>
          </w:p>
        </w:tc>
      </w:tr>
      <w:tr>
        <w:tc>
          <w:tcPr>
            <w:tcW w:type="dxa" w:w="1994"/>
            <w:shd w:val="clear" w:color="auto" w:fill="FFFFFF"/>
            <w:vAlign w:val="center"/>
          </w:tcPr>
          <w:p>
            <w:pPr>
              <w:jc w:val="left"/>
            </w:pPr>
            <w:r>
              <w:rPr>
                <w:b w:val="0"/>
                <w:i w:val="0"/>
                <w:sz w:val="18"/>
              </w:rPr>
              <w:t>Incremental ROAS</w:t>
            </w:r>
          </w:p>
        </w:tc>
        <w:tc>
          <w:tcPr>
            <w:tcW w:type="dxa" w:w="1994"/>
            <w:shd w:val="clear" w:color="auto" w:fill="FFFFFF"/>
            <w:vAlign w:val="center"/>
          </w:tcPr>
          <w:p>
            <w:pPr>
              <w:jc w:val="left"/>
            </w:pPr>
            <w:r>
              <w:rPr>
                <w:b/>
                <w:i w:val="0"/>
                <w:sz w:val="18"/>
              </w:rPr>
              <w:t>TBC</w:t>
            </w:r>
          </w:p>
        </w:tc>
        <w:tc>
          <w:tcPr>
            <w:tcW w:type="dxa" w:w="1994"/>
            <w:shd w:val="clear" w:color="auto" w:fill="FFFFFF"/>
            <w:vAlign w:val="center"/>
          </w:tcPr>
          <w:p>
            <w:pPr>
              <w:jc w:val="left"/>
            </w:pPr>
            <w:r>
              <w:rPr>
                <w:b w:val="0"/>
                <w:i w:val="0"/>
                <w:sz w:val="18"/>
              </w:rPr>
              <w:t>4×–24×</w:t>
            </w:r>
          </w:p>
        </w:tc>
        <w:tc>
          <w:tcPr>
            <w:tcW w:type="dxa" w:w="1994"/>
            <w:shd w:val="clear" w:color="auto" w:fill="FFFFFF"/>
            <w:vAlign w:val="center"/>
          </w:tcPr>
          <w:p>
            <w:pPr>
              <w:jc w:val="left"/>
            </w:pPr>
            <w:r>
              <w:rPr>
                <w:b w:val="0"/>
                <w:i w:val="0"/>
                <w:sz w:val="17"/>
              </w:rPr>
              <w:t>3×–8× (typical local services)</w:t>
            </w:r>
          </w:p>
        </w:tc>
        <w:tc>
          <w:tcPr>
            <w:tcW w:type="dxa" w:w="1994"/>
            <w:shd w:val="clear" w:color="auto" w:fill="FFFFFF"/>
            <w:vAlign w:val="center"/>
          </w:tcPr>
          <w:p>
            <w:pPr>
              <w:jc w:val="left"/>
            </w:pPr>
            <w:r>
              <w:rPr>
                <w:b/>
                <w:i w:val="0"/>
                <w:color w:val="0A5A20"/>
                <w:sz w:val="17"/>
              </w:rPr>
              <w:t>▲ Above benchmark</w:t>
            </w:r>
          </w:p>
        </w:tc>
      </w:tr>
    </w:tbl>
    <w:p>
      <w:pPr>
        <w:spacing w:before="80" w:after="120"/>
      </w:pPr>
      <w:r>
        <w:rPr>
          <w:b w:val="0"/>
          <w:i/>
          <w:color w:val="8899AA"/>
          <w:sz w:val="16"/>
        </w:rPr>
        <w:t>Sources: PPC Chief UK (2026), WordStream Property Report (2025), Propertymark (2025)</w:t>
      </w:r>
    </w:p>
    <w:p>
      <w:pPr>
        <w:spacing w:before="40" w:after="160"/>
        <w:pBdr>
          <w:bottom w:val="single" w:sz="4" w:color="C8A840"/>
        </w:pBdr>
      </w:pPr>
    </w:p>
    <w:p>
      <w:pPr>
        <w:spacing w:before="280" w:after="160"/>
        <w:pBdr>
          <w:bottom w:val="single" w:sz="6" w:color="C8A840"/>
        </w:pBdr>
      </w:pPr>
      <w:r>
        <w:rPr>
          <w:b/>
          <w:color w:val="C8A840"/>
          <w:sz w:val="22"/>
        </w:rPr>
        <w:t xml:space="preserve">3.  </w:t>
      </w:r>
      <w:r>
        <w:rPr>
          <w:b/>
          <w:color w:val="0D2045"/>
          <w:sz w:val="22"/>
        </w:rPr>
        <w:t>KEYWORD PERFORMANCE</w:t>
      </w:r>
    </w:p>
    <w:p>
      <w:pPr>
        <w:spacing w:before="40" w:after="160"/>
      </w:pPr>
      <w:r>
        <w:rPr>
          <w:b w:val="0"/>
          <w:i w:val="0"/>
          <w:color w:val="1A2A3A"/>
          <w:sz w:val="19"/>
        </w:rPr>
        <w:t>The top 5 keywords by spend generated 323 clicks from £375.07 in May. Brand keywords (johnsons evesham, Johnsons Property Consultants, johnsons estate agents evesham) have been separated from the main campaign as of 2 June to free budget for new-audience prospecting.</w:t>
      </w:r>
    </w:p>
    <w:p>
      <w:pPr>
        <w:spacing w:before="80" w:after="80"/>
      </w:pPr>
      <w:r>
        <w:rPr>
          <w:b/>
          <w:i w:val="0"/>
          <w:color w:val="0D2045"/>
          <w:sz w:val="17"/>
        </w:rPr>
        <w:t>MAY 2026 — TOP KEYWORDS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0d2045"/>
            <w:vAlign w:val="center"/>
          </w:tcPr>
          <w:p>
            <w:pPr>
              <w:jc w:val="left"/>
            </w:pPr>
            <w:r>
              <w:rPr>
                <w:b/>
                <w:i w:val="0"/>
                <w:color w:val="FFFFFF"/>
                <w:sz w:val="16"/>
              </w:rPr>
              <w:t>Keyword</w:t>
            </w:r>
          </w:p>
        </w:tc>
        <w:tc>
          <w:tcPr>
            <w:tcW w:type="dxa" w:w="1662"/>
            <w:shd w:val="clear" w:color="auto" w:fill="0d2045"/>
            <w:vAlign w:val="center"/>
          </w:tcPr>
          <w:p>
            <w:pPr>
              <w:jc w:val="left"/>
            </w:pPr>
            <w:r>
              <w:rPr>
                <w:b/>
                <w:i w:val="0"/>
                <w:color w:val="FFFFFF"/>
                <w:sz w:val="16"/>
              </w:rPr>
              <w:t>Match</w:t>
            </w:r>
          </w:p>
        </w:tc>
        <w:tc>
          <w:tcPr>
            <w:tcW w:type="dxa" w:w="1662"/>
            <w:shd w:val="clear" w:color="auto" w:fill="0d2045"/>
            <w:vAlign w:val="center"/>
          </w:tcPr>
          <w:p>
            <w:pPr>
              <w:jc w:val="left"/>
            </w:pPr>
            <w:r>
              <w:rPr>
                <w:b/>
                <w:i w:val="0"/>
                <w:color w:val="FFFFFF"/>
                <w:sz w:val="16"/>
              </w:rPr>
              <w:t>Clicks</w:t>
            </w:r>
          </w:p>
        </w:tc>
        <w:tc>
          <w:tcPr>
            <w:tcW w:type="dxa" w:w="1662"/>
            <w:shd w:val="clear" w:color="auto" w:fill="0d2045"/>
            <w:vAlign w:val="center"/>
          </w:tcPr>
          <w:p>
            <w:pPr>
              <w:jc w:val="left"/>
            </w:pPr>
            <w:r>
              <w:rPr>
                <w:b/>
                <w:i w:val="0"/>
                <w:color w:val="FFFFFF"/>
                <w:sz w:val="16"/>
              </w:rPr>
              <w:t>CTR</w:t>
            </w:r>
          </w:p>
        </w:tc>
        <w:tc>
          <w:tcPr>
            <w:tcW w:type="dxa" w:w="1662"/>
            <w:shd w:val="clear" w:color="auto" w:fill="0d2045"/>
            <w:vAlign w:val="center"/>
          </w:tcPr>
          <w:p>
            <w:pPr>
              <w:jc w:val="left"/>
            </w:pPr>
            <w:r>
              <w:rPr>
                <w:b/>
                <w:i w:val="0"/>
                <w:color w:val="FFFFFF"/>
                <w:sz w:val="16"/>
              </w:rPr>
              <w:t>Cost</w:t>
            </w:r>
          </w:p>
        </w:tc>
        <w:tc>
          <w:tcPr>
            <w:tcW w:type="dxa" w:w="1662"/>
            <w:shd w:val="clear" w:color="auto" w:fill="0d2045"/>
            <w:vAlign w:val="center"/>
          </w:tcPr>
          <w:p>
            <w:pPr>
              <w:jc w:val="left"/>
            </w:pPr>
            <w:r>
              <w:rPr>
                <w:b/>
                <w:i w:val="0"/>
                <w:color w:val="FFFFFF"/>
                <w:sz w:val="16"/>
              </w:rPr>
              <w:t>Note</w:t>
            </w:r>
          </w:p>
        </w:tc>
      </w:tr>
      <w:tr>
        <w:tc>
          <w:tcPr>
            <w:tcW w:type="dxa" w:w="1662"/>
            <w:shd w:val="clear" w:color="auto" w:fill="F7F9FD"/>
            <w:vAlign w:val="center"/>
          </w:tcPr>
          <w:p>
            <w:pPr>
              <w:jc w:val="left"/>
            </w:pPr>
            <w:r>
              <w:rPr>
                <w:b w:val="0"/>
                <w:i w:val="0"/>
                <w:color w:val="1A2A3A"/>
                <w:sz w:val="18"/>
              </w:rPr>
              <w:t>property selling house</w:t>
            </w:r>
          </w:p>
        </w:tc>
        <w:tc>
          <w:tcPr>
            <w:tcW w:type="dxa" w:w="1662"/>
            <w:shd w:val="clear" w:color="auto" w:fill="F7F9FD"/>
            <w:vAlign w:val="center"/>
          </w:tcPr>
          <w:p>
            <w:pPr>
              <w:jc w:val="left"/>
            </w:pPr>
            <w:r>
              <w:rPr>
                <w:b w:val="0"/>
                <w:i w:val="0"/>
                <w:color w:val="1A2A3A"/>
                <w:sz w:val="18"/>
              </w:rPr>
              <w:t>Broad</w:t>
            </w:r>
          </w:p>
        </w:tc>
        <w:tc>
          <w:tcPr>
            <w:tcW w:type="dxa" w:w="1662"/>
            <w:shd w:val="clear" w:color="auto" w:fill="F7F9FD"/>
            <w:vAlign w:val="center"/>
          </w:tcPr>
          <w:p>
            <w:pPr>
              <w:jc w:val="left"/>
            </w:pPr>
            <w:r>
              <w:rPr>
                <w:b w:val="0"/>
                <w:i w:val="0"/>
                <w:color w:val="1A2A3A"/>
                <w:sz w:val="18"/>
              </w:rPr>
              <w:t>94</w:t>
            </w:r>
          </w:p>
        </w:tc>
        <w:tc>
          <w:tcPr>
            <w:tcW w:type="dxa" w:w="1662"/>
            <w:shd w:val="clear" w:color="auto" w:fill="F7F9FD"/>
            <w:vAlign w:val="center"/>
          </w:tcPr>
          <w:p>
            <w:pPr>
              <w:jc w:val="left"/>
            </w:pPr>
            <w:r>
              <w:rPr>
                <w:b w:val="0"/>
                <w:i w:val="0"/>
                <w:color w:val="1A2A3A"/>
                <w:sz w:val="18"/>
              </w:rPr>
              <w:t>10.32%</w:t>
            </w:r>
          </w:p>
        </w:tc>
        <w:tc>
          <w:tcPr>
            <w:tcW w:type="dxa" w:w="1662"/>
            <w:shd w:val="clear" w:color="auto" w:fill="F7F9FD"/>
            <w:vAlign w:val="center"/>
          </w:tcPr>
          <w:p>
            <w:pPr>
              <w:jc w:val="left"/>
            </w:pPr>
            <w:r>
              <w:rPr>
                <w:b w:val="0"/>
                <w:i w:val="0"/>
                <w:color w:val="1A2A3A"/>
                <w:sz w:val="18"/>
              </w:rPr>
              <w:t>£138.78</w:t>
            </w:r>
          </w:p>
        </w:tc>
        <w:tc>
          <w:tcPr>
            <w:tcW w:type="dxa" w:w="1662"/>
            <w:shd w:val="clear" w:color="auto" w:fill="F7F9FD"/>
            <w:vAlign w:val="center"/>
          </w:tcPr>
          <w:p>
            <w:pPr>
              <w:jc w:val="left"/>
            </w:pPr>
            <w:r>
              <w:rPr>
                <w:b w:val="0"/>
                <w:i w:val="0"/>
                <w:color w:val="1A2A3A"/>
                <w:sz w:val="17"/>
              </w:rPr>
              <w:t>Removed 2 June</w:t>
            </w:r>
          </w:p>
        </w:tc>
      </w:tr>
      <w:tr>
        <w:tc>
          <w:tcPr>
            <w:tcW w:type="dxa" w:w="1662"/>
            <w:shd w:val="clear" w:color="auto" w:fill="FFFFFF"/>
            <w:vAlign w:val="center"/>
          </w:tcPr>
          <w:p>
            <w:pPr>
              <w:jc w:val="left"/>
            </w:pPr>
            <w:r>
              <w:rPr>
                <w:b w:val="0"/>
                <w:i w:val="0"/>
                <w:color w:val="1A2A3A"/>
                <w:sz w:val="18"/>
              </w:rPr>
              <w:t>valuation of property</w:t>
            </w:r>
          </w:p>
        </w:tc>
        <w:tc>
          <w:tcPr>
            <w:tcW w:type="dxa" w:w="1662"/>
            <w:shd w:val="clear" w:color="auto" w:fill="FFFFFF"/>
            <w:vAlign w:val="center"/>
          </w:tcPr>
          <w:p>
            <w:pPr>
              <w:jc w:val="left"/>
            </w:pPr>
            <w:r>
              <w:rPr>
                <w:b w:val="0"/>
                <w:i w:val="0"/>
                <w:color w:val="1A2A3A"/>
                <w:sz w:val="18"/>
              </w:rPr>
              <w:t>Broad</w:t>
            </w:r>
          </w:p>
        </w:tc>
        <w:tc>
          <w:tcPr>
            <w:tcW w:type="dxa" w:w="1662"/>
            <w:shd w:val="clear" w:color="auto" w:fill="FFFFFF"/>
            <w:vAlign w:val="center"/>
          </w:tcPr>
          <w:p>
            <w:pPr>
              <w:jc w:val="left"/>
            </w:pPr>
            <w:r>
              <w:rPr>
                <w:b w:val="0"/>
                <w:i w:val="0"/>
                <w:color w:val="1A2A3A"/>
                <w:sz w:val="18"/>
              </w:rPr>
              <w:t>98</w:t>
            </w:r>
          </w:p>
        </w:tc>
        <w:tc>
          <w:tcPr>
            <w:tcW w:type="dxa" w:w="1662"/>
            <w:shd w:val="clear" w:color="auto" w:fill="FFFFFF"/>
            <w:vAlign w:val="center"/>
          </w:tcPr>
          <w:p>
            <w:pPr>
              <w:jc w:val="left"/>
            </w:pPr>
            <w:r>
              <w:rPr>
                <w:b w:val="0"/>
                <w:i w:val="0"/>
                <w:color w:val="1A2A3A"/>
                <w:sz w:val="18"/>
              </w:rPr>
              <w:t>11.25%</w:t>
            </w:r>
          </w:p>
        </w:tc>
        <w:tc>
          <w:tcPr>
            <w:tcW w:type="dxa" w:w="1662"/>
            <w:shd w:val="clear" w:color="auto" w:fill="FFFFFF"/>
            <w:vAlign w:val="center"/>
          </w:tcPr>
          <w:p>
            <w:pPr>
              <w:jc w:val="left"/>
            </w:pPr>
            <w:r>
              <w:rPr>
                <w:b w:val="0"/>
                <w:i w:val="0"/>
                <w:color w:val="1A2A3A"/>
                <w:sz w:val="18"/>
              </w:rPr>
              <w:t>£118.87</w:t>
            </w:r>
          </w:p>
        </w:tc>
        <w:tc>
          <w:tcPr>
            <w:tcW w:type="dxa" w:w="1662"/>
            <w:shd w:val="clear" w:color="auto" w:fill="FFFFFF"/>
            <w:vAlign w:val="center"/>
          </w:tcPr>
          <w:p>
            <w:pPr>
              <w:jc w:val="left"/>
            </w:pPr>
            <w:r>
              <w:rPr>
                <w:b w:val="0"/>
                <w:i w:val="0"/>
                <w:color w:val="1A2A3A"/>
                <w:sz w:val="17"/>
              </w:rPr>
              <w:t>Removed 2 June</w:t>
            </w:r>
          </w:p>
        </w:tc>
      </w:tr>
      <w:tr>
        <w:tc>
          <w:tcPr>
            <w:tcW w:type="dxa" w:w="1662"/>
            <w:shd w:val="clear" w:color="auto" w:fill="F7F9FD"/>
            <w:vAlign w:val="center"/>
          </w:tcPr>
          <w:p>
            <w:pPr>
              <w:jc w:val="left"/>
            </w:pPr>
            <w:r>
              <w:rPr>
                <w:b w:val="0"/>
                <w:i w:val="0"/>
                <w:color w:val="1A2A3A"/>
                <w:sz w:val="18"/>
              </w:rPr>
              <w:t>"house valuation evesham"</w:t>
            </w:r>
          </w:p>
        </w:tc>
        <w:tc>
          <w:tcPr>
            <w:tcW w:type="dxa" w:w="1662"/>
            <w:shd w:val="clear" w:color="auto" w:fill="F7F9FD"/>
            <w:vAlign w:val="center"/>
          </w:tcPr>
          <w:p>
            <w:pPr>
              <w:jc w:val="left"/>
            </w:pPr>
            <w:r>
              <w:rPr>
                <w:b w:val="0"/>
                <w:i w:val="0"/>
                <w:color w:val="1A2A3A"/>
                <w:sz w:val="18"/>
              </w:rPr>
              <w:t>Phrase</w:t>
            </w:r>
          </w:p>
        </w:tc>
        <w:tc>
          <w:tcPr>
            <w:tcW w:type="dxa" w:w="1662"/>
            <w:shd w:val="clear" w:color="auto" w:fill="F7F9FD"/>
            <w:vAlign w:val="center"/>
          </w:tcPr>
          <w:p>
            <w:pPr>
              <w:jc w:val="left"/>
            </w:pPr>
            <w:r>
              <w:rPr>
                <w:b w:val="0"/>
                <w:i w:val="0"/>
                <w:color w:val="1A2A3A"/>
                <w:sz w:val="18"/>
              </w:rPr>
              <w:t>43</w:t>
            </w:r>
          </w:p>
        </w:tc>
        <w:tc>
          <w:tcPr>
            <w:tcW w:type="dxa" w:w="1662"/>
            <w:shd w:val="clear" w:color="auto" w:fill="F7F9FD"/>
            <w:vAlign w:val="center"/>
          </w:tcPr>
          <w:p>
            <w:pPr>
              <w:jc w:val="left"/>
            </w:pPr>
            <w:r>
              <w:rPr>
                <w:b w:val="0"/>
                <w:i w:val="0"/>
                <w:color w:val="1A2A3A"/>
                <w:sz w:val="18"/>
              </w:rPr>
              <w:t>8.43%</w:t>
            </w:r>
          </w:p>
        </w:tc>
        <w:tc>
          <w:tcPr>
            <w:tcW w:type="dxa" w:w="1662"/>
            <w:shd w:val="clear" w:color="auto" w:fill="F7F9FD"/>
            <w:vAlign w:val="center"/>
          </w:tcPr>
          <w:p>
            <w:pPr>
              <w:jc w:val="left"/>
            </w:pPr>
            <w:r>
              <w:rPr>
                <w:b w:val="0"/>
                <w:i w:val="0"/>
                <w:color w:val="1A2A3A"/>
                <w:sz w:val="18"/>
              </w:rPr>
              <w:t>£67.75</w:t>
            </w:r>
          </w:p>
        </w:tc>
        <w:tc>
          <w:tcPr>
            <w:tcW w:type="dxa" w:w="1662"/>
            <w:shd w:val="clear" w:color="auto" w:fill="F7F9FD"/>
            <w:vAlign w:val="center"/>
          </w:tcPr>
          <w:p>
            <w:pPr>
              <w:jc w:val="left"/>
            </w:pPr>
            <w:r>
              <w:rPr>
                <w:b w:val="0"/>
                <w:i w:val="0"/>
                <w:color w:val="1A2A3A"/>
                <w:sz w:val="17"/>
              </w:rPr>
              <w:t>Core — retained</w:t>
            </w:r>
          </w:p>
        </w:tc>
      </w:tr>
      <w:tr>
        <w:tc>
          <w:tcPr>
            <w:tcW w:type="dxa" w:w="1662"/>
            <w:shd w:val="clear" w:color="auto" w:fill="FDF8EC"/>
            <w:vAlign w:val="center"/>
          </w:tcPr>
          <w:p>
            <w:pPr>
              <w:jc w:val="left"/>
            </w:pPr>
            <w:r>
              <w:rPr>
                <w:b w:val="0"/>
                <w:i w:val="0"/>
                <w:color w:val="1A2A3A"/>
                <w:sz w:val="18"/>
              </w:rPr>
              <w:t>"johnsons evesham"</w:t>
            </w:r>
          </w:p>
        </w:tc>
        <w:tc>
          <w:tcPr>
            <w:tcW w:type="dxa" w:w="1662"/>
            <w:shd w:val="clear" w:color="auto" w:fill="FDF8EC"/>
            <w:vAlign w:val="center"/>
          </w:tcPr>
          <w:p>
            <w:pPr>
              <w:jc w:val="left"/>
            </w:pPr>
            <w:r>
              <w:rPr>
                <w:b w:val="0"/>
                <w:i w:val="0"/>
                <w:color w:val="1A2A3A"/>
                <w:sz w:val="18"/>
              </w:rPr>
              <w:t>Phrase</w:t>
            </w:r>
          </w:p>
        </w:tc>
        <w:tc>
          <w:tcPr>
            <w:tcW w:type="dxa" w:w="1662"/>
            <w:shd w:val="clear" w:color="auto" w:fill="FDF8EC"/>
            <w:vAlign w:val="center"/>
          </w:tcPr>
          <w:p>
            <w:pPr>
              <w:jc w:val="left"/>
            </w:pPr>
            <w:r>
              <w:rPr>
                <w:b w:val="0"/>
                <w:i w:val="0"/>
                <w:color w:val="1A2A3A"/>
                <w:sz w:val="18"/>
              </w:rPr>
              <w:t>43</w:t>
            </w:r>
          </w:p>
        </w:tc>
        <w:tc>
          <w:tcPr>
            <w:tcW w:type="dxa" w:w="1662"/>
            <w:shd w:val="clear" w:color="auto" w:fill="FDF8EC"/>
            <w:vAlign w:val="center"/>
          </w:tcPr>
          <w:p>
            <w:pPr>
              <w:jc w:val="left"/>
            </w:pPr>
            <w:r>
              <w:rPr>
                <w:b/>
                <w:i w:val="0"/>
                <w:color w:val="C8A840"/>
                <w:sz w:val="18"/>
              </w:rPr>
              <w:t>43.43%</w:t>
            </w:r>
          </w:p>
        </w:tc>
        <w:tc>
          <w:tcPr>
            <w:tcW w:type="dxa" w:w="1662"/>
            <w:shd w:val="clear" w:color="auto" w:fill="FDF8EC"/>
            <w:vAlign w:val="center"/>
          </w:tcPr>
          <w:p>
            <w:pPr>
              <w:jc w:val="left"/>
            </w:pPr>
            <w:r>
              <w:rPr>
                <w:b w:val="0"/>
                <w:i w:val="0"/>
                <w:color w:val="1A2A3A"/>
                <w:sz w:val="18"/>
              </w:rPr>
              <w:t>£26.07</w:t>
            </w:r>
          </w:p>
        </w:tc>
        <w:tc>
          <w:tcPr>
            <w:tcW w:type="dxa" w:w="1662"/>
            <w:shd w:val="clear" w:color="auto" w:fill="FDF8EC"/>
            <w:vAlign w:val="center"/>
          </w:tcPr>
          <w:p>
            <w:pPr>
              <w:jc w:val="left"/>
            </w:pPr>
            <w:r>
              <w:rPr>
                <w:b w:val="0"/>
                <w:i w:val="0"/>
                <w:color w:val="1A2A3A"/>
                <w:sz w:val="17"/>
              </w:rPr>
              <w:t>→ Branded campaign</w:t>
            </w:r>
          </w:p>
        </w:tc>
      </w:tr>
      <w:tr>
        <w:tc>
          <w:tcPr>
            <w:tcW w:type="dxa" w:w="1662"/>
            <w:shd w:val="clear" w:color="auto" w:fill="FDF8EC"/>
            <w:vAlign w:val="center"/>
          </w:tcPr>
          <w:p>
            <w:pPr>
              <w:jc w:val="left"/>
            </w:pPr>
            <w:r>
              <w:rPr>
                <w:b w:val="0"/>
                <w:i w:val="0"/>
                <w:color w:val="1A2A3A"/>
                <w:sz w:val="18"/>
              </w:rPr>
              <w:t>Johnsons Property Consultants</w:t>
            </w:r>
          </w:p>
        </w:tc>
        <w:tc>
          <w:tcPr>
            <w:tcW w:type="dxa" w:w="1662"/>
            <w:shd w:val="clear" w:color="auto" w:fill="FDF8EC"/>
            <w:vAlign w:val="center"/>
          </w:tcPr>
          <w:p>
            <w:pPr>
              <w:jc w:val="left"/>
            </w:pPr>
            <w:r>
              <w:rPr>
                <w:b w:val="0"/>
                <w:i w:val="0"/>
                <w:color w:val="1A2A3A"/>
                <w:sz w:val="18"/>
              </w:rPr>
              <w:t>Broad</w:t>
            </w:r>
          </w:p>
        </w:tc>
        <w:tc>
          <w:tcPr>
            <w:tcW w:type="dxa" w:w="1662"/>
            <w:shd w:val="clear" w:color="auto" w:fill="FDF8EC"/>
            <w:vAlign w:val="center"/>
          </w:tcPr>
          <w:p>
            <w:pPr>
              <w:jc w:val="left"/>
            </w:pPr>
            <w:r>
              <w:rPr>
                <w:b w:val="0"/>
                <w:i w:val="0"/>
                <w:color w:val="1A2A3A"/>
                <w:sz w:val="18"/>
              </w:rPr>
              <w:t>45</w:t>
            </w:r>
          </w:p>
        </w:tc>
        <w:tc>
          <w:tcPr>
            <w:tcW w:type="dxa" w:w="1662"/>
            <w:shd w:val="clear" w:color="auto" w:fill="FDF8EC"/>
            <w:vAlign w:val="center"/>
          </w:tcPr>
          <w:p>
            <w:pPr>
              <w:jc w:val="left"/>
            </w:pPr>
            <w:r>
              <w:rPr>
                <w:b/>
                <w:i w:val="0"/>
                <w:color w:val="C8A840"/>
                <w:sz w:val="18"/>
              </w:rPr>
              <w:t>35.16%</w:t>
            </w:r>
          </w:p>
        </w:tc>
        <w:tc>
          <w:tcPr>
            <w:tcW w:type="dxa" w:w="1662"/>
            <w:shd w:val="clear" w:color="auto" w:fill="FDF8EC"/>
            <w:vAlign w:val="center"/>
          </w:tcPr>
          <w:p>
            <w:pPr>
              <w:jc w:val="left"/>
            </w:pPr>
            <w:r>
              <w:rPr>
                <w:b w:val="0"/>
                <w:i w:val="0"/>
                <w:color w:val="1A2A3A"/>
                <w:sz w:val="18"/>
              </w:rPr>
              <w:t>£23.60</w:t>
            </w:r>
          </w:p>
        </w:tc>
        <w:tc>
          <w:tcPr>
            <w:tcW w:type="dxa" w:w="1662"/>
            <w:shd w:val="clear" w:color="auto" w:fill="FDF8EC"/>
            <w:vAlign w:val="center"/>
          </w:tcPr>
          <w:p>
            <w:pPr>
              <w:jc w:val="left"/>
            </w:pPr>
            <w:r>
              <w:rPr>
                <w:b w:val="0"/>
                <w:i w:val="0"/>
                <w:color w:val="1A2A3A"/>
                <w:sz w:val="17"/>
              </w:rPr>
              <w:t>→ Branded campaign</w:t>
            </w:r>
          </w:p>
        </w:tc>
      </w:tr>
      <w:tr>
        <w:tc>
          <w:tcPr>
            <w:tcW w:type="dxa" w:w="1662"/>
            <w:shd w:val="clear" w:color="auto" w:fill="0d2045"/>
            <w:vAlign w:val="center"/>
          </w:tcPr>
          <w:p>
            <w:pPr>
              <w:jc w:val="left"/>
            </w:pPr>
            <w:r>
              <w:rPr>
                <w:b/>
                <w:i w:val="0"/>
                <w:color w:val="FFFFFF"/>
                <w:sz w:val="18"/>
              </w:rPr>
              <w:t>TOTAL (top 5)</w:t>
            </w:r>
          </w:p>
        </w:tc>
        <w:tc>
          <w:tcPr>
            <w:tcW w:type="dxa" w:w="1662"/>
            <w:shd w:val="clear" w:color="auto" w:fill="0d2045"/>
            <w:vAlign w:val="center"/>
          </w:tcPr>
          <w:p>
            <w:pPr>
              <w:jc w:val="left"/>
            </w:pPr>
            <w:r>
              <w:rPr>
                <w:b w:val="0"/>
                <w:i w:val="0"/>
                <w:color w:val="FFFFFF"/>
                <w:sz w:val="18"/>
              </w:rPr>
              <w:t>—</w:t>
            </w:r>
          </w:p>
        </w:tc>
        <w:tc>
          <w:tcPr>
            <w:tcW w:type="dxa" w:w="1662"/>
            <w:shd w:val="clear" w:color="auto" w:fill="0d2045"/>
            <w:vAlign w:val="center"/>
          </w:tcPr>
          <w:p>
            <w:pPr>
              <w:jc w:val="left"/>
            </w:pPr>
            <w:r>
              <w:rPr>
                <w:b w:val="0"/>
                <w:i w:val="0"/>
                <w:color w:val="FFFFFF"/>
                <w:sz w:val="18"/>
              </w:rPr>
              <w:t>323</w:t>
            </w:r>
          </w:p>
        </w:tc>
        <w:tc>
          <w:tcPr>
            <w:tcW w:type="dxa" w:w="1662"/>
            <w:shd w:val="clear" w:color="auto" w:fill="0d2045"/>
            <w:vAlign w:val="center"/>
          </w:tcPr>
          <w:p>
            <w:pPr>
              <w:jc w:val="left"/>
            </w:pPr>
            <w:r>
              <w:rPr>
                <w:b/>
                <w:i w:val="0"/>
                <w:color w:val="FFFFFF"/>
                <w:sz w:val="18"/>
              </w:rPr>
              <w:t>13.12%</w:t>
            </w:r>
          </w:p>
        </w:tc>
        <w:tc>
          <w:tcPr>
            <w:tcW w:type="dxa" w:w="1662"/>
            <w:shd w:val="clear" w:color="auto" w:fill="0d2045"/>
            <w:vAlign w:val="center"/>
          </w:tcPr>
          <w:p>
            <w:pPr>
              <w:jc w:val="left"/>
            </w:pPr>
            <w:r>
              <w:rPr>
                <w:b w:val="0"/>
                <w:i w:val="0"/>
                <w:color w:val="FFFFFF"/>
                <w:sz w:val="18"/>
              </w:rPr>
              <w:t>£375.07</w:t>
            </w:r>
          </w:p>
        </w:tc>
        <w:tc>
          <w:tcPr>
            <w:tcW w:type="dxa" w:w="1662"/>
            <w:shd w:val="clear" w:color="auto" w:fill="0d2045"/>
            <w:vAlign w:val="center"/>
          </w:tcPr>
          <w:p>
            <w:pPr>
              <w:jc w:val="left"/>
            </w:pPr>
            <w:r>
              <w:rPr>
                <w:b w:val="0"/>
                <w:i w:val="0"/>
                <w:color w:val="FFFFFF"/>
                <w:sz w:val="17"/>
              </w:rPr>
            </w:r>
          </w:p>
        </w:tc>
      </w:tr>
    </w:tbl>
    <w:p/>
    <w:p>
      <w:pPr>
        <w:spacing w:before="80" w:after="80"/>
      </w:pPr>
      <w:r>
        <w:rPr>
          <w:b/>
          <w:i w:val="0"/>
          <w:color w:val="0D2045"/>
          <w:sz w:val="17"/>
        </w:rPr>
        <w:t>APRIL 2026 — KEYWORD COMPARISON</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0d2045"/>
            <w:vAlign w:val="center"/>
          </w:tcPr>
          <w:p>
            <w:pPr>
              <w:jc w:val="left"/>
            </w:pPr>
            <w:r>
              <w:rPr>
                <w:b/>
                <w:i w:val="0"/>
                <w:color w:val="FFFFFF"/>
                <w:sz w:val="16"/>
              </w:rPr>
              <w:t>Keyword</w:t>
            </w:r>
          </w:p>
        </w:tc>
        <w:tc>
          <w:tcPr>
            <w:tcW w:type="dxa" w:w="1425"/>
            <w:shd w:val="clear" w:color="auto" w:fill="0d2045"/>
            <w:vAlign w:val="center"/>
          </w:tcPr>
          <w:p>
            <w:pPr>
              <w:jc w:val="left"/>
            </w:pPr>
            <w:r>
              <w:rPr>
                <w:b/>
                <w:i w:val="0"/>
                <w:color w:val="FFFFFF"/>
                <w:sz w:val="16"/>
              </w:rPr>
              <w:t>Match</w:t>
            </w:r>
          </w:p>
        </w:tc>
        <w:tc>
          <w:tcPr>
            <w:tcW w:type="dxa" w:w="1425"/>
            <w:shd w:val="clear" w:color="auto" w:fill="0d2045"/>
            <w:vAlign w:val="center"/>
          </w:tcPr>
          <w:p>
            <w:pPr>
              <w:jc w:val="left"/>
            </w:pPr>
            <w:r>
              <w:rPr>
                <w:b/>
                <w:i w:val="0"/>
                <w:color w:val="FFFFFF"/>
                <w:sz w:val="16"/>
              </w:rPr>
              <w:t>Clicks</w:t>
            </w:r>
          </w:p>
        </w:tc>
        <w:tc>
          <w:tcPr>
            <w:tcW w:type="dxa" w:w="1425"/>
            <w:shd w:val="clear" w:color="auto" w:fill="0d2045"/>
            <w:vAlign w:val="center"/>
          </w:tcPr>
          <w:p>
            <w:pPr>
              <w:jc w:val="left"/>
            </w:pPr>
            <w:r>
              <w:rPr>
                <w:b/>
                <w:i w:val="0"/>
                <w:color w:val="FFFFFF"/>
                <w:sz w:val="16"/>
              </w:rPr>
              <w:t>CTR</w:t>
            </w:r>
          </w:p>
        </w:tc>
        <w:tc>
          <w:tcPr>
            <w:tcW w:type="dxa" w:w="1425"/>
            <w:shd w:val="clear" w:color="auto" w:fill="0d2045"/>
            <w:vAlign w:val="center"/>
          </w:tcPr>
          <w:p>
            <w:pPr>
              <w:jc w:val="left"/>
            </w:pPr>
            <w:r>
              <w:rPr>
                <w:b/>
                <w:i w:val="0"/>
                <w:color w:val="FFFFFF"/>
                <w:sz w:val="16"/>
              </w:rPr>
              <w:t>Conv.</w:t>
            </w:r>
          </w:p>
        </w:tc>
        <w:tc>
          <w:tcPr>
            <w:tcW w:type="dxa" w:w="1425"/>
            <w:shd w:val="clear" w:color="auto" w:fill="0d2045"/>
            <w:vAlign w:val="center"/>
          </w:tcPr>
          <w:p>
            <w:pPr>
              <w:jc w:val="left"/>
            </w:pPr>
            <w:r>
              <w:rPr>
                <w:b/>
                <w:i w:val="0"/>
                <w:color w:val="FFFFFF"/>
                <w:sz w:val="16"/>
              </w:rPr>
              <w:t>Cost/Conv.</w:t>
            </w:r>
          </w:p>
        </w:tc>
        <w:tc>
          <w:tcPr>
            <w:tcW w:type="dxa" w:w="1425"/>
            <w:shd w:val="clear" w:color="auto" w:fill="0d2045"/>
            <w:vAlign w:val="center"/>
          </w:tcPr>
          <w:p>
            <w:pPr>
              <w:jc w:val="left"/>
            </w:pPr>
            <w:r>
              <w:rPr>
                <w:b/>
                <w:i w:val="0"/>
                <w:color w:val="FFFFFF"/>
                <w:sz w:val="16"/>
              </w:rPr>
              <w:t>Note</w:t>
            </w:r>
          </w:p>
        </w:tc>
      </w:tr>
      <w:tr>
        <w:tc>
          <w:tcPr>
            <w:tcW w:type="dxa" w:w="1425"/>
            <w:shd w:val="clear" w:color="auto" w:fill="F7F9FD"/>
            <w:vAlign w:val="center"/>
          </w:tcPr>
          <w:p>
            <w:pPr>
              <w:jc w:val="left"/>
            </w:pPr>
            <w:r>
              <w:rPr>
                <w:b w:val="0"/>
                <w:i w:val="0"/>
                <w:sz w:val="18"/>
              </w:rPr>
              <w:t>"house valuation evesham"</w:t>
            </w:r>
          </w:p>
        </w:tc>
        <w:tc>
          <w:tcPr>
            <w:tcW w:type="dxa" w:w="1425"/>
            <w:shd w:val="clear" w:color="auto" w:fill="F7F9FD"/>
            <w:vAlign w:val="center"/>
          </w:tcPr>
          <w:p>
            <w:pPr>
              <w:jc w:val="left"/>
            </w:pPr>
            <w:r>
              <w:rPr>
                <w:b w:val="0"/>
                <w:i w:val="0"/>
                <w:sz w:val="18"/>
              </w:rPr>
              <w:t>Phrase</w:t>
            </w:r>
          </w:p>
        </w:tc>
        <w:tc>
          <w:tcPr>
            <w:tcW w:type="dxa" w:w="1425"/>
            <w:shd w:val="clear" w:color="auto" w:fill="F7F9FD"/>
            <w:vAlign w:val="center"/>
          </w:tcPr>
          <w:p>
            <w:pPr>
              <w:jc w:val="left"/>
            </w:pPr>
            <w:r>
              <w:rPr>
                <w:b w:val="0"/>
                <w:i w:val="0"/>
                <w:sz w:val="18"/>
              </w:rPr>
              <w:t>16</w:t>
            </w:r>
          </w:p>
        </w:tc>
        <w:tc>
          <w:tcPr>
            <w:tcW w:type="dxa" w:w="1425"/>
            <w:shd w:val="clear" w:color="auto" w:fill="F7F9FD"/>
            <w:vAlign w:val="center"/>
          </w:tcPr>
          <w:p>
            <w:pPr>
              <w:jc w:val="left"/>
            </w:pPr>
            <w:r>
              <w:rPr>
                <w:b w:val="0"/>
                <w:i w:val="0"/>
                <w:sz w:val="18"/>
              </w:rPr>
              <w:t>6.11%</w:t>
            </w:r>
          </w:p>
        </w:tc>
        <w:tc>
          <w:tcPr>
            <w:tcW w:type="dxa" w:w="1425"/>
            <w:shd w:val="clear" w:color="auto" w:fill="F7F9FD"/>
            <w:vAlign w:val="center"/>
          </w:tcPr>
          <w:p>
            <w:pPr>
              <w:jc w:val="left"/>
            </w:pPr>
            <w:r>
              <w:rPr>
                <w:b w:val="0"/>
                <w:i w:val="0"/>
                <w:sz w:val="18"/>
              </w:rPr>
              <w:t>11.00</w:t>
            </w:r>
          </w:p>
        </w:tc>
        <w:tc>
          <w:tcPr>
            <w:tcW w:type="dxa" w:w="1425"/>
            <w:shd w:val="clear" w:color="auto" w:fill="F7F9FD"/>
            <w:vAlign w:val="center"/>
          </w:tcPr>
          <w:p>
            <w:pPr>
              <w:jc w:val="left"/>
            </w:pPr>
            <w:r>
              <w:rPr>
                <w:b w:val="0"/>
                <w:i w:val="0"/>
                <w:sz w:val="18"/>
              </w:rPr>
              <w:t>£3.01</w:t>
            </w:r>
          </w:p>
        </w:tc>
        <w:tc>
          <w:tcPr>
            <w:tcW w:type="dxa" w:w="1425"/>
            <w:shd w:val="clear" w:color="auto" w:fill="F7F9FD"/>
            <w:vAlign w:val="center"/>
          </w:tcPr>
          <w:p>
            <w:pPr>
              <w:jc w:val="left"/>
            </w:pPr>
            <w:r>
              <w:rPr>
                <w:b w:val="0"/>
                <w:i w:val="0"/>
                <w:sz w:val="18"/>
              </w:rPr>
              <w:t>★ Highest intent</w:t>
            </w:r>
          </w:p>
        </w:tc>
      </w:tr>
      <w:tr>
        <w:tc>
          <w:tcPr>
            <w:tcW w:type="dxa" w:w="1425"/>
            <w:shd w:val="clear" w:color="auto" w:fill="FFFFFF"/>
            <w:vAlign w:val="center"/>
          </w:tcPr>
          <w:p>
            <w:pPr>
              <w:jc w:val="left"/>
            </w:pPr>
            <w:r>
              <w:rPr>
                <w:b w:val="0"/>
                <w:i w:val="0"/>
                <w:sz w:val="18"/>
              </w:rPr>
              <w:t>valuation of property</w:t>
            </w:r>
          </w:p>
        </w:tc>
        <w:tc>
          <w:tcPr>
            <w:tcW w:type="dxa" w:w="1425"/>
            <w:shd w:val="clear" w:color="auto" w:fill="FFFFFF"/>
            <w:vAlign w:val="center"/>
          </w:tcPr>
          <w:p>
            <w:pPr>
              <w:jc w:val="left"/>
            </w:pPr>
            <w:r>
              <w:rPr>
                <w:b w:val="0"/>
                <w:i w:val="0"/>
                <w:sz w:val="18"/>
              </w:rPr>
              <w:t>Broad</w:t>
            </w:r>
          </w:p>
        </w:tc>
        <w:tc>
          <w:tcPr>
            <w:tcW w:type="dxa" w:w="1425"/>
            <w:shd w:val="clear" w:color="auto" w:fill="FFFFFF"/>
            <w:vAlign w:val="center"/>
          </w:tcPr>
          <w:p>
            <w:pPr>
              <w:jc w:val="left"/>
            </w:pPr>
            <w:r>
              <w:rPr>
                <w:b w:val="0"/>
                <w:i w:val="0"/>
                <w:sz w:val="18"/>
              </w:rPr>
              <w:t>21</w:t>
            </w:r>
          </w:p>
        </w:tc>
        <w:tc>
          <w:tcPr>
            <w:tcW w:type="dxa" w:w="1425"/>
            <w:shd w:val="clear" w:color="auto" w:fill="FFFFFF"/>
            <w:vAlign w:val="center"/>
          </w:tcPr>
          <w:p>
            <w:pPr>
              <w:jc w:val="left"/>
            </w:pPr>
            <w:r>
              <w:rPr>
                <w:b w:val="0"/>
                <w:i w:val="0"/>
                <w:sz w:val="18"/>
              </w:rPr>
              <w:t>8.27%</w:t>
            </w:r>
          </w:p>
        </w:tc>
        <w:tc>
          <w:tcPr>
            <w:tcW w:type="dxa" w:w="1425"/>
            <w:shd w:val="clear" w:color="auto" w:fill="FFFFFF"/>
            <w:vAlign w:val="center"/>
          </w:tcPr>
          <w:p>
            <w:pPr>
              <w:jc w:val="left"/>
            </w:pPr>
            <w:r>
              <w:rPr>
                <w:b w:val="0"/>
                <w:i w:val="0"/>
                <w:sz w:val="18"/>
              </w:rPr>
              <w:t>18.67</w:t>
            </w:r>
          </w:p>
        </w:tc>
        <w:tc>
          <w:tcPr>
            <w:tcW w:type="dxa" w:w="1425"/>
            <w:shd w:val="clear" w:color="auto" w:fill="FFFFFF"/>
            <w:vAlign w:val="center"/>
          </w:tcPr>
          <w:p>
            <w:pPr>
              <w:jc w:val="left"/>
            </w:pPr>
            <w:r>
              <w:rPr>
                <w:b w:val="0"/>
                <w:i w:val="0"/>
                <w:sz w:val="18"/>
              </w:rPr>
              <w:t>£1.36</w:t>
            </w:r>
          </w:p>
        </w:tc>
        <w:tc>
          <w:tcPr>
            <w:tcW w:type="dxa" w:w="1425"/>
            <w:shd w:val="clear" w:color="auto" w:fill="FFFFFF"/>
            <w:vAlign w:val="center"/>
          </w:tcPr>
          <w:p>
            <w:pPr>
              <w:jc w:val="left"/>
            </w:pPr>
            <w:r>
              <w:rPr>
                <w:b w:val="0"/>
                <w:i w:val="0"/>
                <w:sz w:val="18"/>
              </w:rPr>
              <w:t>★ Most efficient CPC</w:t>
            </w:r>
          </w:p>
        </w:tc>
      </w:tr>
      <w:tr>
        <w:tc>
          <w:tcPr>
            <w:tcW w:type="dxa" w:w="1425"/>
            <w:shd w:val="clear" w:color="auto" w:fill="F7F9FD"/>
            <w:vAlign w:val="center"/>
          </w:tcPr>
          <w:p>
            <w:pPr>
              <w:jc w:val="left"/>
            </w:pPr>
            <w:r>
              <w:rPr>
                <w:b w:val="0"/>
                <w:i w:val="0"/>
                <w:sz w:val="18"/>
              </w:rPr>
              <w:t>property selling house</w:t>
            </w:r>
          </w:p>
        </w:tc>
        <w:tc>
          <w:tcPr>
            <w:tcW w:type="dxa" w:w="1425"/>
            <w:shd w:val="clear" w:color="auto" w:fill="F7F9FD"/>
            <w:vAlign w:val="center"/>
          </w:tcPr>
          <w:p>
            <w:pPr>
              <w:jc w:val="left"/>
            </w:pPr>
            <w:r>
              <w:rPr>
                <w:b w:val="0"/>
                <w:i w:val="0"/>
                <w:sz w:val="18"/>
              </w:rPr>
              <w:t>Broad</w:t>
            </w:r>
          </w:p>
        </w:tc>
        <w:tc>
          <w:tcPr>
            <w:tcW w:type="dxa" w:w="1425"/>
            <w:shd w:val="clear" w:color="auto" w:fill="F7F9FD"/>
            <w:vAlign w:val="center"/>
          </w:tcPr>
          <w:p>
            <w:pPr>
              <w:jc w:val="left"/>
            </w:pPr>
            <w:r>
              <w:rPr>
                <w:b w:val="0"/>
                <w:i w:val="0"/>
                <w:sz w:val="18"/>
              </w:rPr>
              <w:t>68</w:t>
            </w:r>
          </w:p>
        </w:tc>
        <w:tc>
          <w:tcPr>
            <w:tcW w:type="dxa" w:w="1425"/>
            <w:shd w:val="clear" w:color="auto" w:fill="F7F9FD"/>
            <w:vAlign w:val="center"/>
          </w:tcPr>
          <w:p>
            <w:pPr>
              <w:jc w:val="left"/>
            </w:pPr>
            <w:r>
              <w:rPr>
                <w:b w:val="0"/>
                <w:i w:val="0"/>
                <w:sz w:val="18"/>
              </w:rPr>
              <w:t>5.94%</w:t>
            </w:r>
          </w:p>
        </w:tc>
        <w:tc>
          <w:tcPr>
            <w:tcW w:type="dxa" w:w="1425"/>
            <w:shd w:val="clear" w:color="auto" w:fill="F7F9FD"/>
            <w:vAlign w:val="center"/>
          </w:tcPr>
          <w:p>
            <w:pPr>
              <w:jc w:val="left"/>
            </w:pPr>
            <w:r>
              <w:rPr>
                <w:b w:val="0"/>
                <w:i w:val="0"/>
                <w:sz w:val="18"/>
              </w:rPr>
              <w:t>23.00</w:t>
            </w:r>
          </w:p>
        </w:tc>
        <w:tc>
          <w:tcPr>
            <w:tcW w:type="dxa" w:w="1425"/>
            <w:shd w:val="clear" w:color="auto" w:fill="F7F9FD"/>
            <w:vAlign w:val="center"/>
          </w:tcPr>
          <w:p>
            <w:pPr>
              <w:jc w:val="left"/>
            </w:pPr>
            <w:r>
              <w:rPr>
                <w:b w:val="0"/>
                <w:i w:val="0"/>
                <w:sz w:val="18"/>
              </w:rPr>
              <w:t>£7.68</w:t>
            </w:r>
          </w:p>
        </w:tc>
        <w:tc>
          <w:tcPr>
            <w:tcW w:type="dxa" w:w="1425"/>
            <w:shd w:val="clear" w:color="auto" w:fill="F7F9FD"/>
            <w:vAlign w:val="center"/>
          </w:tcPr>
          <w:p>
            <w:pPr>
              <w:jc w:val="left"/>
            </w:pPr>
            <w:r>
              <w:rPr>
                <w:b w:val="0"/>
                <w:i w:val="0"/>
                <w:sz w:val="18"/>
              </w:rPr>
              <w:t>Broad — audit needed</w:t>
            </w:r>
          </w:p>
        </w:tc>
      </w:tr>
      <w:tr>
        <w:tc>
          <w:tcPr>
            <w:tcW w:type="dxa" w:w="1425"/>
            <w:shd w:val="clear" w:color="auto" w:fill="FDF8EC"/>
            <w:vAlign w:val="center"/>
          </w:tcPr>
          <w:p>
            <w:pPr>
              <w:jc w:val="left"/>
            </w:pPr>
            <w:r>
              <w:rPr>
                <w:b w:val="0"/>
                <w:i w:val="0"/>
                <w:sz w:val="18"/>
              </w:rPr>
              <w:t>Johnsons Property Consultants</w:t>
            </w:r>
          </w:p>
        </w:tc>
        <w:tc>
          <w:tcPr>
            <w:tcW w:type="dxa" w:w="1425"/>
            <w:shd w:val="clear" w:color="auto" w:fill="FDF8EC"/>
            <w:vAlign w:val="center"/>
          </w:tcPr>
          <w:p>
            <w:pPr>
              <w:jc w:val="left"/>
            </w:pPr>
            <w:r>
              <w:rPr>
                <w:b w:val="0"/>
                <w:i w:val="0"/>
                <w:sz w:val="18"/>
              </w:rPr>
              <w:t>Broad</w:t>
            </w:r>
          </w:p>
        </w:tc>
        <w:tc>
          <w:tcPr>
            <w:tcW w:type="dxa" w:w="1425"/>
            <w:shd w:val="clear" w:color="auto" w:fill="FDF8EC"/>
            <w:vAlign w:val="center"/>
          </w:tcPr>
          <w:p>
            <w:pPr>
              <w:jc w:val="left"/>
            </w:pPr>
            <w:r>
              <w:rPr>
                <w:b w:val="0"/>
                <w:i w:val="0"/>
                <w:sz w:val="18"/>
              </w:rPr>
              <w:t>36</w:t>
            </w:r>
          </w:p>
        </w:tc>
        <w:tc>
          <w:tcPr>
            <w:tcW w:type="dxa" w:w="1425"/>
            <w:shd w:val="clear" w:color="auto" w:fill="FDF8EC"/>
            <w:vAlign w:val="center"/>
          </w:tcPr>
          <w:p>
            <w:pPr>
              <w:jc w:val="left"/>
            </w:pPr>
            <w:r>
              <w:rPr>
                <w:b w:val="0"/>
                <w:i w:val="0"/>
                <w:sz w:val="18"/>
              </w:rPr>
              <w:t>25.17%</w:t>
            </w:r>
          </w:p>
        </w:tc>
        <w:tc>
          <w:tcPr>
            <w:tcW w:type="dxa" w:w="1425"/>
            <w:shd w:val="clear" w:color="auto" w:fill="FDF8EC"/>
            <w:vAlign w:val="center"/>
          </w:tcPr>
          <w:p>
            <w:pPr>
              <w:jc w:val="left"/>
            </w:pPr>
            <w:r>
              <w:rPr>
                <w:b w:val="0"/>
                <w:i w:val="0"/>
                <w:sz w:val="18"/>
              </w:rPr>
              <w:t>7.00</w:t>
            </w:r>
          </w:p>
        </w:tc>
        <w:tc>
          <w:tcPr>
            <w:tcW w:type="dxa" w:w="1425"/>
            <w:shd w:val="clear" w:color="auto" w:fill="FDF8EC"/>
            <w:vAlign w:val="center"/>
          </w:tcPr>
          <w:p>
            <w:pPr>
              <w:jc w:val="left"/>
            </w:pPr>
            <w:r>
              <w:rPr>
                <w:b w:val="0"/>
                <w:i w:val="0"/>
                <w:sz w:val="18"/>
              </w:rPr>
              <w:t>£6.11</w:t>
            </w:r>
          </w:p>
        </w:tc>
        <w:tc>
          <w:tcPr>
            <w:tcW w:type="dxa" w:w="1425"/>
            <w:shd w:val="clear" w:color="auto" w:fill="FDF8EC"/>
            <w:vAlign w:val="center"/>
          </w:tcPr>
          <w:p>
            <w:pPr>
              <w:jc w:val="left"/>
            </w:pPr>
            <w:r>
              <w:rPr>
                <w:b w:val="0"/>
                <w:i w:val="0"/>
                <w:sz w:val="18"/>
              </w:rPr>
              <w:t>→ Branded campaign</w:t>
            </w:r>
          </w:p>
        </w:tc>
      </w:tr>
      <w:tr>
        <w:tc>
          <w:tcPr>
            <w:tcW w:type="dxa" w:w="1425"/>
            <w:shd w:val="clear" w:color="auto" w:fill="FDF8EC"/>
            <w:vAlign w:val="center"/>
          </w:tcPr>
          <w:p>
            <w:pPr>
              <w:jc w:val="left"/>
            </w:pPr>
            <w:r>
              <w:rPr>
                <w:b w:val="0"/>
                <w:i w:val="0"/>
                <w:sz w:val="18"/>
              </w:rPr>
              <w:t>"johnsons evesham"</w:t>
            </w:r>
          </w:p>
        </w:tc>
        <w:tc>
          <w:tcPr>
            <w:tcW w:type="dxa" w:w="1425"/>
            <w:shd w:val="clear" w:color="auto" w:fill="FDF8EC"/>
            <w:vAlign w:val="center"/>
          </w:tcPr>
          <w:p>
            <w:pPr>
              <w:jc w:val="left"/>
            </w:pPr>
            <w:r>
              <w:rPr>
                <w:b w:val="0"/>
                <w:i w:val="0"/>
                <w:sz w:val="18"/>
              </w:rPr>
              <w:t>Phrase</w:t>
            </w:r>
          </w:p>
        </w:tc>
        <w:tc>
          <w:tcPr>
            <w:tcW w:type="dxa" w:w="1425"/>
            <w:shd w:val="clear" w:color="auto" w:fill="FDF8EC"/>
            <w:vAlign w:val="center"/>
          </w:tcPr>
          <w:p>
            <w:pPr>
              <w:jc w:val="left"/>
            </w:pPr>
            <w:r>
              <w:rPr>
                <w:b w:val="0"/>
                <w:i w:val="0"/>
                <w:sz w:val="18"/>
              </w:rPr>
              <w:t>14</w:t>
            </w:r>
          </w:p>
        </w:tc>
        <w:tc>
          <w:tcPr>
            <w:tcW w:type="dxa" w:w="1425"/>
            <w:shd w:val="clear" w:color="auto" w:fill="FDF8EC"/>
            <w:vAlign w:val="center"/>
          </w:tcPr>
          <w:p>
            <w:pPr>
              <w:jc w:val="left"/>
            </w:pPr>
            <w:r>
              <w:rPr>
                <w:b w:val="0"/>
                <w:i w:val="0"/>
                <w:sz w:val="18"/>
              </w:rPr>
              <w:t>42.42%</w:t>
            </w:r>
          </w:p>
        </w:tc>
        <w:tc>
          <w:tcPr>
            <w:tcW w:type="dxa" w:w="1425"/>
            <w:shd w:val="clear" w:color="auto" w:fill="FDF8EC"/>
            <w:vAlign w:val="center"/>
          </w:tcPr>
          <w:p>
            <w:pPr>
              <w:jc w:val="left"/>
            </w:pPr>
            <w:r>
              <w:rPr>
                <w:b w:val="0"/>
                <w:i w:val="0"/>
                <w:sz w:val="18"/>
              </w:rPr>
              <w:t>5.00</w:t>
            </w:r>
          </w:p>
        </w:tc>
        <w:tc>
          <w:tcPr>
            <w:tcW w:type="dxa" w:w="1425"/>
            <w:shd w:val="clear" w:color="auto" w:fill="FDF8EC"/>
            <w:vAlign w:val="center"/>
          </w:tcPr>
          <w:p>
            <w:pPr>
              <w:jc w:val="left"/>
            </w:pPr>
            <w:r>
              <w:rPr>
                <w:b w:val="0"/>
                <w:i w:val="0"/>
                <w:sz w:val="18"/>
              </w:rPr>
              <w:t>£3.17</w:t>
            </w:r>
          </w:p>
        </w:tc>
        <w:tc>
          <w:tcPr>
            <w:tcW w:type="dxa" w:w="1425"/>
            <w:shd w:val="clear" w:color="auto" w:fill="FDF8EC"/>
            <w:vAlign w:val="center"/>
          </w:tcPr>
          <w:p>
            <w:pPr>
              <w:jc w:val="left"/>
            </w:pPr>
            <w:r>
              <w:rPr>
                <w:b w:val="0"/>
                <w:i w:val="0"/>
                <w:sz w:val="18"/>
              </w:rPr>
              <w:t>→ Branded campaign</w:t>
            </w:r>
          </w:p>
        </w:tc>
      </w:tr>
      <w:tr>
        <w:tc>
          <w:tcPr>
            <w:tcW w:type="dxa" w:w="1425"/>
            <w:shd w:val="clear" w:color="auto" w:fill="FDF8EC"/>
            <w:vAlign w:val="center"/>
          </w:tcPr>
          <w:p>
            <w:pPr>
              <w:jc w:val="left"/>
            </w:pPr>
            <w:r>
              <w:rPr>
                <w:b w:val="0"/>
                <w:i w:val="0"/>
                <w:sz w:val="18"/>
              </w:rPr>
              <w:t>johnsons estate agents evesham</w:t>
            </w:r>
          </w:p>
        </w:tc>
        <w:tc>
          <w:tcPr>
            <w:tcW w:type="dxa" w:w="1425"/>
            <w:shd w:val="clear" w:color="auto" w:fill="FDF8EC"/>
            <w:vAlign w:val="center"/>
          </w:tcPr>
          <w:p>
            <w:pPr>
              <w:jc w:val="left"/>
            </w:pPr>
            <w:r>
              <w:rPr>
                <w:b w:val="0"/>
                <w:i w:val="0"/>
                <w:sz w:val="18"/>
              </w:rPr>
              <w:t>Broad</w:t>
            </w:r>
          </w:p>
        </w:tc>
        <w:tc>
          <w:tcPr>
            <w:tcW w:type="dxa" w:w="1425"/>
            <w:shd w:val="clear" w:color="auto" w:fill="FDF8EC"/>
            <w:vAlign w:val="center"/>
          </w:tcPr>
          <w:p>
            <w:pPr>
              <w:jc w:val="left"/>
            </w:pPr>
            <w:r>
              <w:rPr>
                <w:b w:val="0"/>
                <w:i w:val="0"/>
                <w:sz w:val="18"/>
              </w:rPr>
              <w:t>9</w:t>
            </w:r>
          </w:p>
        </w:tc>
        <w:tc>
          <w:tcPr>
            <w:tcW w:type="dxa" w:w="1425"/>
            <w:shd w:val="clear" w:color="auto" w:fill="FDF8EC"/>
            <w:vAlign w:val="center"/>
          </w:tcPr>
          <w:p>
            <w:pPr>
              <w:jc w:val="left"/>
            </w:pPr>
            <w:r>
              <w:rPr>
                <w:b w:val="0"/>
                <w:i w:val="0"/>
                <w:sz w:val="18"/>
              </w:rPr>
              <w:t>45.00%</w:t>
            </w:r>
          </w:p>
        </w:tc>
        <w:tc>
          <w:tcPr>
            <w:tcW w:type="dxa" w:w="1425"/>
            <w:shd w:val="clear" w:color="auto" w:fill="FDF8EC"/>
            <w:vAlign w:val="center"/>
          </w:tcPr>
          <w:p>
            <w:pPr>
              <w:jc w:val="left"/>
            </w:pPr>
            <w:r>
              <w:rPr>
                <w:b w:val="0"/>
                <w:i w:val="0"/>
                <w:sz w:val="18"/>
              </w:rPr>
              <w:t>4.00</w:t>
            </w:r>
          </w:p>
        </w:tc>
        <w:tc>
          <w:tcPr>
            <w:tcW w:type="dxa" w:w="1425"/>
            <w:shd w:val="clear" w:color="auto" w:fill="FDF8EC"/>
            <w:vAlign w:val="center"/>
          </w:tcPr>
          <w:p>
            <w:pPr>
              <w:jc w:val="left"/>
            </w:pPr>
            <w:r>
              <w:rPr>
                <w:b w:val="0"/>
                <w:i w:val="0"/>
                <w:sz w:val="18"/>
              </w:rPr>
              <w:t>£1.81</w:t>
            </w:r>
          </w:p>
        </w:tc>
        <w:tc>
          <w:tcPr>
            <w:tcW w:type="dxa" w:w="1425"/>
            <w:shd w:val="clear" w:color="auto" w:fill="FDF8EC"/>
            <w:vAlign w:val="center"/>
          </w:tcPr>
          <w:p>
            <w:pPr>
              <w:jc w:val="left"/>
            </w:pPr>
            <w:r>
              <w:rPr>
                <w:b w:val="0"/>
                <w:i w:val="0"/>
                <w:sz w:val="18"/>
              </w:rPr>
              <w:t>→ Branded campaign</w:t>
            </w:r>
          </w:p>
        </w:tc>
      </w:tr>
      <w:tr>
        <w:tc>
          <w:tcPr>
            <w:tcW w:type="dxa" w:w="1425"/>
            <w:shd w:val="clear" w:color="auto" w:fill="F7F9FD"/>
            <w:vAlign w:val="center"/>
          </w:tcPr>
          <w:p>
            <w:pPr>
              <w:jc w:val="left"/>
            </w:pPr>
            <w:r>
              <w:rPr>
                <w:b w:val="0"/>
                <w:i w:val="0"/>
                <w:sz w:val="18"/>
              </w:rPr>
              <w:t>"estate agent valuations"</w:t>
            </w:r>
          </w:p>
        </w:tc>
        <w:tc>
          <w:tcPr>
            <w:tcW w:type="dxa" w:w="1425"/>
            <w:shd w:val="clear" w:color="auto" w:fill="F7F9FD"/>
            <w:vAlign w:val="center"/>
          </w:tcPr>
          <w:p>
            <w:pPr>
              <w:jc w:val="left"/>
            </w:pPr>
            <w:r>
              <w:rPr>
                <w:b w:val="0"/>
                <w:i w:val="0"/>
                <w:sz w:val="18"/>
              </w:rPr>
              <w:t>Phrase</w:t>
            </w:r>
          </w:p>
        </w:tc>
        <w:tc>
          <w:tcPr>
            <w:tcW w:type="dxa" w:w="1425"/>
            <w:shd w:val="clear" w:color="auto" w:fill="F7F9FD"/>
            <w:vAlign w:val="center"/>
          </w:tcPr>
          <w:p>
            <w:pPr>
              <w:jc w:val="left"/>
            </w:pPr>
            <w:r>
              <w:rPr>
                <w:b w:val="0"/>
                <w:i w:val="0"/>
                <w:sz w:val="18"/>
              </w:rPr>
              <w:t>21</w:t>
            </w:r>
          </w:p>
        </w:tc>
        <w:tc>
          <w:tcPr>
            <w:tcW w:type="dxa" w:w="1425"/>
            <w:shd w:val="clear" w:color="auto" w:fill="F7F9FD"/>
            <w:vAlign w:val="center"/>
          </w:tcPr>
          <w:p>
            <w:pPr>
              <w:jc w:val="left"/>
            </w:pPr>
            <w:r>
              <w:rPr>
                <w:b w:val="0"/>
                <w:i w:val="0"/>
                <w:sz w:val="18"/>
              </w:rPr>
              <w:t>21.65%</w:t>
            </w:r>
          </w:p>
        </w:tc>
        <w:tc>
          <w:tcPr>
            <w:tcW w:type="dxa" w:w="1425"/>
            <w:shd w:val="clear" w:color="auto" w:fill="F7F9FD"/>
            <w:vAlign w:val="center"/>
          </w:tcPr>
          <w:p>
            <w:pPr>
              <w:jc w:val="left"/>
            </w:pPr>
            <w:r>
              <w:rPr>
                <w:b w:val="0"/>
                <w:i w:val="0"/>
                <w:sz w:val="18"/>
              </w:rPr>
              <w:t>0.00</w:t>
            </w:r>
          </w:p>
        </w:tc>
        <w:tc>
          <w:tcPr>
            <w:tcW w:type="dxa" w:w="1425"/>
            <w:shd w:val="clear" w:color="auto" w:fill="F7F9FD"/>
            <w:vAlign w:val="center"/>
          </w:tcPr>
          <w:p>
            <w:pPr>
              <w:jc w:val="left"/>
            </w:pPr>
            <w:r>
              <w:rPr>
                <w:b w:val="0"/>
                <w:i w:val="0"/>
                <w:sz w:val="18"/>
              </w:rPr>
              <w:t>—</w:t>
            </w:r>
          </w:p>
        </w:tc>
        <w:tc>
          <w:tcPr>
            <w:tcW w:type="dxa" w:w="1425"/>
            <w:shd w:val="clear" w:color="auto" w:fill="F7F9FD"/>
            <w:vAlign w:val="center"/>
          </w:tcPr>
          <w:p>
            <w:pPr>
              <w:jc w:val="left"/>
            </w:pPr>
            <w:r>
              <w:rPr>
                <w:b w:val="0"/>
                <w:i w:val="0"/>
                <w:sz w:val="18"/>
              </w:rPr>
              <w:t>0 conv — removed</w:t>
            </w:r>
          </w:p>
        </w:tc>
      </w:tr>
    </w:tbl>
    <w:p>
      <w:pPr>
        <w:spacing w:before="40" w:after="160"/>
        <w:pBdr>
          <w:bottom w:val="single" w:sz="4" w:color="C8A840"/>
        </w:pBdr>
      </w:pPr>
    </w:p>
    <w:p>
      <w:pPr>
        <w:spacing w:before="280" w:after="160"/>
        <w:pBdr>
          <w:bottom w:val="single" w:sz="6" w:color="C8A840"/>
        </w:pBdr>
      </w:pPr>
      <w:r>
        <w:rPr>
          <w:b/>
          <w:color w:val="C8A840"/>
          <w:sz w:val="22"/>
        </w:rPr>
        <w:t xml:space="preserve">4.  </w:t>
      </w:r>
      <w:r>
        <w:rPr>
          <w:b/>
          <w:color w:val="0D2045"/>
          <w:sz w:val="22"/>
        </w:rPr>
        <w:t>DEVICE &amp; GEOGRAPHIC PERFORMANCE</w:t>
      </w:r>
    </w:p>
    <w:p>
      <w:pPr>
        <w:spacing w:before="80" w:after="80"/>
      </w:pPr>
      <w:r>
        <w:rPr>
          <w:b/>
          <w:i w:val="0"/>
          <w:color w:val="0D2045"/>
          <w:sz w:val="17"/>
        </w:rPr>
        <w:t>MAY 2026 — DEVICE SPLIT</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0d2045"/>
            <w:vAlign w:val="center"/>
          </w:tcPr>
          <w:p>
            <w:pPr>
              <w:jc w:val="left"/>
            </w:pPr>
            <w:r>
              <w:rPr>
                <w:b/>
                <w:i w:val="0"/>
                <w:color w:val="FFFFFF"/>
                <w:sz w:val="16"/>
              </w:rPr>
              <w:t>Device</w:t>
            </w:r>
          </w:p>
        </w:tc>
        <w:tc>
          <w:tcPr>
            <w:tcW w:type="dxa" w:w="2493"/>
            <w:shd w:val="clear" w:color="auto" w:fill="0d2045"/>
            <w:vAlign w:val="center"/>
          </w:tcPr>
          <w:p>
            <w:pPr>
              <w:jc w:val="left"/>
            </w:pPr>
            <w:r>
              <w:rPr>
                <w:b/>
                <w:i w:val="0"/>
                <w:color w:val="FFFFFF"/>
                <w:sz w:val="16"/>
              </w:rPr>
              <w:t>Cost %</w:t>
            </w:r>
          </w:p>
        </w:tc>
        <w:tc>
          <w:tcPr>
            <w:tcW w:type="dxa" w:w="2493"/>
            <w:shd w:val="clear" w:color="auto" w:fill="0d2045"/>
            <w:vAlign w:val="center"/>
          </w:tcPr>
          <w:p>
            <w:pPr>
              <w:jc w:val="left"/>
            </w:pPr>
            <w:r>
              <w:rPr>
                <w:b/>
                <w:i w:val="0"/>
                <w:color w:val="FFFFFF"/>
                <w:sz w:val="16"/>
              </w:rPr>
              <w:t>Impressions %</w:t>
            </w:r>
          </w:p>
        </w:tc>
        <w:tc>
          <w:tcPr>
            <w:tcW w:type="dxa" w:w="2493"/>
            <w:shd w:val="clear" w:color="auto" w:fill="0d2045"/>
            <w:vAlign w:val="center"/>
          </w:tcPr>
          <w:p>
            <w:pPr>
              <w:jc w:val="left"/>
            </w:pPr>
            <w:r>
              <w:rPr>
                <w:b/>
                <w:i w:val="0"/>
                <w:color w:val="FFFFFF"/>
                <w:sz w:val="16"/>
              </w:rPr>
              <w:t>Clicks %</w:t>
            </w:r>
          </w:p>
        </w:tc>
      </w:tr>
      <w:tr>
        <w:tc>
          <w:tcPr>
            <w:tcW w:type="dxa" w:w="2493"/>
            <w:shd w:val="clear" w:color="auto" w:fill="C8F0D0"/>
            <w:vAlign w:val="center"/>
          </w:tcPr>
          <w:p>
            <w:pPr>
              <w:jc w:val="left"/>
            </w:pPr>
            <w:r>
              <w:rPr>
                <w:b/>
                <w:i w:val="0"/>
                <w:color w:val="0A5A20"/>
                <w:sz w:val="18"/>
              </w:rPr>
              <w:t>Mobile Phones</w:t>
            </w:r>
          </w:p>
        </w:tc>
        <w:tc>
          <w:tcPr>
            <w:tcW w:type="dxa" w:w="2493"/>
            <w:shd w:val="clear" w:color="auto" w:fill="C8F0D0"/>
            <w:vAlign w:val="center"/>
          </w:tcPr>
          <w:p>
            <w:pPr>
              <w:jc w:val="left"/>
            </w:pPr>
            <w:r>
              <w:rPr>
                <w:b/>
                <w:i w:val="0"/>
                <w:color w:val="0A5A20"/>
                <w:sz w:val="18"/>
              </w:rPr>
              <w:t>97.3%</w:t>
            </w:r>
          </w:p>
        </w:tc>
        <w:tc>
          <w:tcPr>
            <w:tcW w:type="dxa" w:w="2493"/>
            <w:shd w:val="clear" w:color="auto" w:fill="C8F0D0"/>
            <w:vAlign w:val="center"/>
          </w:tcPr>
          <w:p>
            <w:pPr>
              <w:jc w:val="left"/>
            </w:pPr>
            <w:r>
              <w:rPr>
                <w:b/>
                <w:i w:val="0"/>
                <w:color w:val="0A5A20"/>
                <w:sz w:val="18"/>
              </w:rPr>
              <w:t>95.1%</w:t>
            </w:r>
          </w:p>
        </w:tc>
        <w:tc>
          <w:tcPr>
            <w:tcW w:type="dxa" w:w="2493"/>
            <w:shd w:val="clear" w:color="auto" w:fill="C8F0D0"/>
            <w:vAlign w:val="center"/>
          </w:tcPr>
          <w:p>
            <w:pPr>
              <w:jc w:val="left"/>
            </w:pPr>
            <w:r>
              <w:rPr>
                <w:b/>
                <w:i w:val="0"/>
                <w:color w:val="0A5A20"/>
                <w:sz w:val="18"/>
              </w:rPr>
              <w:t>98.9%</w:t>
            </w:r>
          </w:p>
        </w:tc>
      </w:tr>
      <w:tr>
        <w:tc>
          <w:tcPr>
            <w:tcW w:type="dxa" w:w="2493"/>
            <w:shd w:val="clear" w:color="auto" w:fill="FFFFFF"/>
            <w:vAlign w:val="center"/>
          </w:tcPr>
          <w:p>
            <w:pPr>
              <w:jc w:val="left"/>
            </w:pPr>
            <w:r>
              <w:rPr>
                <w:b w:val="0"/>
                <w:i w:val="0"/>
                <w:color w:val="1A2A3A"/>
                <w:sz w:val="18"/>
              </w:rPr>
              <w:t>Computers</w:t>
            </w:r>
          </w:p>
        </w:tc>
        <w:tc>
          <w:tcPr>
            <w:tcW w:type="dxa" w:w="2493"/>
            <w:shd w:val="clear" w:color="auto" w:fill="FFFFFF"/>
            <w:vAlign w:val="center"/>
          </w:tcPr>
          <w:p>
            <w:pPr>
              <w:jc w:val="left"/>
            </w:pPr>
            <w:r>
              <w:rPr>
                <w:b w:val="0"/>
                <w:i w:val="0"/>
                <w:color w:val="1A2A3A"/>
                <w:sz w:val="18"/>
              </w:rPr>
              <w:t>2.7%</w:t>
            </w:r>
          </w:p>
        </w:tc>
        <w:tc>
          <w:tcPr>
            <w:tcW w:type="dxa" w:w="2493"/>
            <w:shd w:val="clear" w:color="auto" w:fill="FFFFFF"/>
            <w:vAlign w:val="center"/>
          </w:tcPr>
          <w:p>
            <w:pPr>
              <w:jc w:val="left"/>
            </w:pPr>
            <w:r>
              <w:rPr>
                <w:b w:val="0"/>
                <w:i w:val="0"/>
                <w:color w:val="1A2A3A"/>
                <w:sz w:val="18"/>
              </w:rPr>
              <w:t>4.3%</w:t>
            </w:r>
          </w:p>
        </w:tc>
        <w:tc>
          <w:tcPr>
            <w:tcW w:type="dxa" w:w="2493"/>
            <w:shd w:val="clear" w:color="auto" w:fill="FFFFFF"/>
            <w:vAlign w:val="center"/>
          </w:tcPr>
          <w:p>
            <w:pPr>
              <w:jc w:val="left"/>
            </w:pPr>
            <w:r>
              <w:rPr>
                <w:b w:val="0"/>
                <w:i w:val="0"/>
                <w:color w:val="1A2A3A"/>
                <w:sz w:val="18"/>
              </w:rPr>
              <w:t>1.1%</w:t>
            </w:r>
          </w:p>
        </w:tc>
      </w:tr>
      <w:tr>
        <w:tc>
          <w:tcPr>
            <w:tcW w:type="dxa" w:w="2493"/>
            <w:shd w:val="clear" w:color="auto" w:fill="F7F9FD"/>
            <w:vAlign w:val="center"/>
          </w:tcPr>
          <w:p>
            <w:pPr>
              <w:jc w:val="left"/>
            </w:pPr>
            <w:r>
              <w:rPr>
                <w:b w:val="0"/>
                <w:i w:val="0"/>
                <w:color w:val="1A2A3A"/>
                <w:sz w:val="18"/>
              </w:rPr>
              <w:t>Tablets</w:t>
            </w:r>
          </w:p>
        </w:tc>
        <w:tc>
          <w:tcPr>
            <w:tcW w:type="dxa" w:w="2493"/>
            <w:shd w:val="clear" w:color="auto" w:fill="F7F9FD"/>
            <w:vAlign w:val="center"/>
          </w:tcPr>
          <w:p>
            <w:pPr>
              <w:jc w:val="left"/>
            </w:pPr>
            <w:r>
              <w:rPr>
                <w:b w:val="0"/>
                <w:i w:val="0"/>
                <w:color w:val="1A2A3A"/>
                <w:sz w:val="18"/>
              </w:rPr>
              <w:t>0.0%</w:t>
            </w:r>
          </w:p>
        </w:tc>
        <w:tc>
          <w:tcPr>
            <w:tcW w:type="dxa" w:w="2493"/>
            <w:shd w:val="clear" w:color="auto" w:fill="F7F9FD"/>
            <w:vAlign w:val="center"/>
          </w:tcPr>
          <w:p>
            <w:pPr>
              <w:jc w:val="left"/>
            </w:pPr>
            <w:r>
              <w:rPr>
                <w:b w:val="0"/>
                <w:i w:val="0"/>
                <w:color w:val="1A2A3A"/>
                <w:sz w:val="18"/>
              </w:rPr>
              <w:t>0.7%</w:t>
            </w:r>
          </w:p>
        </w:tc>
        <w:tc>
          <w:tcPr>
            <w:tcW w:type="dxa" w:w="2493"/>
            <w:shd w:val="clear" w:color="auto" w:fill="F7F9FD"/>
            <w:vAlign w:val="center"/>
          </w:tcPr>
          <w:p>
            <w:pPr>
              <w:jc w:val="left"/>
            </w:pPr>
            <w:r>
              <w:rPr>
                <w:b w:val="0"/>
                <w:i w:val="0"/>
                <w:color w:val="1A2A3A"/>
                <w:sz w:val="18"/>
              </w:rPr>
              <w:t>0.0%</w:t>
            </w:r>
          </w:p>
        </w:tc>
      </w:tr>
    </w:tbl>
    <w:p/>
    <w:p>
      <w:pPr>
        <w:spacing w:before="80" w:after="80"/>
      </w:pPr>
      <w:r>
        <w:rPr>
          <w:b/>
          <w:i w:val="0"/>
          <w:color w:val="0D2045"/>
          <w:sz w:val="17"/>
        </w:rPr>
        <w:t>APRIL 2026 — GEOGRAPHIC BREAKDOWN</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0d2045"/>
            <w:vAlign w:val="center"/>
          </w:tcPr>
          <w:p>
            <w:pPr>
              <w:jc w:val="left"/>
            </w:pPr>
            <w:r>
              <w:rPr>
                <w:b/>
                <w:i w:val="0"/>
                <w:color w:val="FFFFFF"/>
                <w:sz w:val="16"/>
              </w:rPr>
              <w:t>Location</w:t>
            </w:r>
          </w:p>
        </w:tc>
        <w:tc>
          <w:tcPr>
            <w:tcW w:type="dxa" w:w="1662"/>
            <w:shd w:val="clear" w:color="auto" w:fill="0d2045"/>
            <w:vAlign w:val="center"/>
          </w:tcPr>
          <w:p>
            <w:pPr>
              <w:jc w:val="left"/>
            </w:pPr>
            <w:r>
              <w:rPr>
                <w:b/>
                <w:i w:val="0"/>
                <w:color w:val="FFFFFF"/>
                <w:sz w:val="16"/>
              </w:rPr>
              <w:t>Clicks</w:t>
            </w:r>
          </w:p>
        </w:tc>
        <w:tc>
          <w:tcPr>
            <w:tcW w:type="dxa" w:w="1662"/>
            <w:shd w:val="clear" w:color="auto" w:fill="0d2045"/>
            <w:vAlign w:val="center"/>
          </w:tcPr>
          <w:p>
            <w:pPr>
              <w:jc w:val="left"/>
            </w:pPr>
            <w:r>
              <w:rPr>
                <w:b/>
                <w:i w:val="0"/>
                <w:color w:val="FFFFFF"/>
                <w:sz w:val="16"/>
              </w:rPr>
              <w:t>CTR</w:t>
            </w:r>
          </w:p>
        </w:tc>
        <w:tc>
          <w:tcPr>
            <w:tcW w:type="dxa" w:w="1662"/>
            <w:shd w:val="clear" w:color="auto" w:fill="0d2045"/>
            <w:vAlign w:val="center"/>
          </w:tcPr>
          <w:p>
            <w:pPr>
              <w:jc w:val="left"/>
            </w:pPr>
            <w:r>
              <w:rPr>
                <w:b/>
                <w:i w:val="0"/>
                <w:color w:val="FFFFFF"/>
                <w:sz w:val="16"/>
              </w:rPr>
              <w:t>Conv. Rate</w:t>
            </w:r>
          </w:p>
        </w:tc>
        <w:tc>
          <w:tcPr>
            <w:tcW w:type="dxa" w:w="1662"/>
            <w:shd w:val="clear" w:color="auto" w:fill="0d2045"/>
            <w:vAlign w:val="center"/>
          </w:tcPr>
          <w:p>
            <w:pPr>
              <w:jc w:val="left"/>
            </w:pPr>
            <w:r>
              <w:rPr>
                <w:b/>
                <w:i w:val="0"/>
                <w:color w:val="FFFFFF"/>
                <w:sz w:val="16"/>
              </w:rPr>
              <w:t>Cost/Conv.</w:t>
            </w:r>
          </w:p>
        </w:tc>
        <w:tc>
          <w:tcPr>
            <w:tcW w:type="dxa" w:w="1662"/>
            <w:shd w:val="clear" w:color="auto" w:fill="0d2045"/>
            <w:vAlign w:val="center"/>
          </w:tcPr>
          <w:p>
            <w:pPr>
              <w:jc w:val="left"/>
            </w:pPr>
            <w:r>
              <w:rPr>
                <w:b/>
                <w:i w:val="0"/>
                <w:color w:val="FFFFFF"/>
                <w:sz w:val="16"/>
              </w:rPr>
              <w:t>Cost</w:t>
            </w:r>
          </w:p>
        </w:tc>
      </w:tr>
      <w:tr>
        <w:tc>
          <w:tcPr>
            <w:tcW w:type="dxa" w:w="1662"/>
            <w:shd w:val="clear" w:color="auto" w:fill="F7F9FD"/>
            <w:vAlign w:val="center"/>
          </w:tcPr>
          <w:p>
            <w:pPr>
              <w:jc w:val="left"/>
            </w:pPr>
            <w:r>
              <w:rPr>
                <w:b w:val="0"/>
                <w:i w:val="0"/>
                <w:color w:val="1A2A3A"/>
                <w:sz w:val="18"/>
              </w:rPr>
              <w:t>WR11 — Evesham</w:t>
            </w:r>
          </w:p>
        </w:tc>
        <w:tc>
          <w:tcPr>
            <w:tcW w:type="dxa" w:w="1662"/>
            <w:shd w:val="clear" w:color="auto" w:fill="F7F9FD"/>
            <w:vAlign w:val="center"/>
          </w:tcPr>
          <w:p>
            <w:pPr>
              <w:jc w:val="left"/>
            </w:pPr>
            <w:r>
              <w:rPr>
                <w:b w:val="0"/>
                <w:i w:val="0"/>
                <w:color w:val="1A2A3A"/>
                <w:sz w:val="18"/>
              </w:rPr>
              <w:t>127</w:t>
            </w:r>
          </w:p>
        </w:tc>
        <w:tc>
          <w:tcPr>
            <w:tcW w:type="dxa" w:w="1662"/>
            <w:shd w:val="clear" w:color="auto" w:fill="F7F9FD"/>
            <w:vAlign w:val="center"/>
          </w:tcPr>
          <w:p>
            <w:pPr>
              <w:jc w:val="left"/>
            </w:pPr>
            <w:r>
              <w:rPr>
                <w:b w:val="0"/>
                <w:i w:val="0"/>
                <w:color w:val="1A2A3A"/>
                <w:sz w:val="18"/>
              </w:rPr>
              <w:t>10.17%</w:t>
            </w:r>
          </w:p>
        </w:tc>
        <w:tc>
          <w:tcPr>
            <w:tcW w:type="dxa" w:w="1662"/>
            <w:shd w:val="clear" w:color="auto" w:fill="F7F9FD"/>
            <w:vAlign w:val="center"/>
          </w:tcPr>
          <w:p>
            <w:pPr>
              <w:jc w:val="left"/>
            </w:pPr>
            <w:r>
              <w:rPr>
                <w:b w:val="0"/>
                <w:i w:val="0"/>
                <w:color w:val="1A2A3A"/>
                <w:sz w:val="18"/>
              </w:rPr>
              <w:t>27.56%</w:t>
            </w:r>
          </w:p>
        </w:tc>
        <w:tc>
          <w:tcPr>
            <w:tcW w:type="dxa" w:w="1662"/>
            <w:shd w:val="clear" w:color="auto" w:fill="F7F9FD"/>
            <w:vAlign w:val="center"/>
          </w:tcPr>
          <w:p>
            <w:pPr>
              <w:jc w:val="left"/>
            </w:pPr>
            <w:r>
              <w:rPr>
                <w:b w:val="0"/>
                <w:i w:val="0"/>
                <w:color w:val="1A2A3A"/>
                <w:sz w:val="18"/>
              </w:rPr>
              <w:t>£6.04</w:t>
            </w:r>
          </w:p>
        </w:tc>
        <w:tc>
          <w:tcPr>
            <w:tcW w:type="dxa" w:w="1662"/>
            <w:shd w:val="clear" w:color="auto" w:fill="F7F9FD"/>
            <w:vAlign w:val="center"/>
          </w:tcPr>
          <w:p>
            <w:pPr>
              <w:jc w:val="left"/>
            </w:pPr>
            <w:r>
              <w:rPr>
                <w:b w:val="0"/>
                <w:i w:val="0"/>
                <w:color w:val="1A2A3A"/>
                <w:sz w:val="18"/>
              </w:rPr>
              <w:t>£211.50</w:t>
            </w:r>
          </w:p>
        </w:tc>
      </w:tr>
      <w:tr>
        <w:tc>
          <w:tcPr>
            <w:tcW w:type="dxa" w:w="1662"/>
            <w:shd w:val="clear" w:color="auto" w:fill="FDF8EC"/>
            <w:vAlign w:val="center"/>
          </w:tcPr>
          <w:p>
            <w:pPr>
              <w:jc w:val="left"/>
            </w:pPr>
            <w:r>
              <w:rPr>
                <w:b w:val="0"/>
                <w:i w:val="0"/>
                <w:color w:val="1A2A3A"/>
                <w:sz w:val="18"/>
              </w:rPr>
              <w:t>10-Mile Radius</w:t>
            </w:r>
          </w:p>
        </w:tc>
        <w:tc>
          <w:tcPr>
            <w:tcW w:type="dxa" w:w="1662"/>
            <w:shd w:val="clear" w:color="auto" w:fill="FDF8EC"/>
            <w:vAlign w:val="center"/>
          </w:tcPr>
          <w:p>
            <w:pPr>
              <w:jc w:val="left"/>
            </w:pPr>
            <w:r>
              <w:rPr>
                <w:b w:val="0"/>
                <w:i w:val="0"/>
                <w:color w:val="1A2A3A"/>
                <w:sz w:val="18"/>
              </w:rPr>
              <w:t>51</w:t>
            </w:r>
          </w:p>
        </w:tc>
        <w:tc>
          <w:tcPr>
            <w:tcW w:type="dxa" w:w="1662"/>
            <w:shd w:val="clear" w:color="auto" w:fill="FDF8EC"/>
            <w:vAlign w:val="center"/>
          </w:tcPr>
          <w:p>
            <w:pPr>
              <w:jc w:val="left"/>
            </w:pPr>
            <w:r>
              <w:rPr>
                <w:b w:val="0"/>
                <w:i w:val="0"/>
                <w:color w:val="1A2A3A"/>
                <w:sz w:val="18"/>
              </w:rPr>
              <w:t>8.28%</w:t>
            </w:r>
          </w:p>
        </w:tc>
        <w:tc>
          <w:tcPr>
            <w:tcW w:type="dxa" w:w="1662"/>
            <w:shd w:val="clear" w:color="auto" w:fill="FDF8EC"/>
            <w:vAlign w:val="center"/>
          </w:tcPr>
          <w:p>
            <w:pPr>
              <w:jc w:val="left"/>
            </w:pPr>
            <w:r>
              <w:rPr>
                <w:b/>
                <w:i w:val="0"/>
                <w:color w:val="C8A840"/>
                <w:sz w:val="18"/>
              </w:rPr>
              <w:t>47.06%</w:t>
            </w:r>
          </w:p>
        </w:tc>
        <w:tc>
          <w:tcPr>
            <w:tcW w:type="dxa" w:w="1662"/>
            <w:shd w:val="clear" w:color="auto" w:fill="FDF8EC"/>
            <w:vAlign w:val="center"/>
          </w:tcPr>
          <w:p>
            <w:pPr>
              <w:jc w:val="left"/>
            </w:pPr>
            <w:r>
              <w:rPr>
                <w:b w:val="0"/>
                <w:i w:val="0"/>
                <w:color w:val="1A2A3A"/>
                <w:sz w:val="18"/>
              </w:rPr>
              <w:t>£4.95</w:t>
            </w:r>
          </w:p>
        </w:tc>
        <w:tc>
          <w:tcPr>
            <w:tcW w:type="dxa" w:w="1662"/>
            <w:shd w:val="clear" w:color="auto" w:fill="FDF8EC"/>
            <w:vAlign w:val="center"/>
          </w:tcPr>
          <w:p>
            <w:pPr>
              <w:jc w:val="left"/>
            </w:pPr>
            <w:r>
              <w:rPr>
                <w:b w:val="0"/>
                <w:i w:val="0"/>
                <w:color w:val="1A2A3A"/>
                <w:sz w:val="18"/>
              </w:rPr>
              <w:t>£118.89</w:t>
            </w:r>
          </w:p>
        </w:tc>
      </w:tr>
      <w:tr>
        <w:tc>
          <w:tcPr>
            <w:tcW w:type="dxa" w:w="1662"/>
            <w:shd w:val="clear" w:color="auto" w:fill="FDF8EC"/>
            <w:vAlign w:val="center"/>
          </w:tcPr>
          <w:p>
            <w:pPr>
              <w:jc w:val="left"/>
            </w:pPr>
            <w:r>
              <w:rPr>
                <w:b w:val="0"/>
                <w:i w:val="0"/>
                <w:color w:val="1A2A3A"/>
                <w:sz w:val="18"/>
              </w:rPr>
              <w:t>WR10 — Pershore</w:t>
            </w:r>
          </w:p>
        </w:tc>
        <w:tc>
          <w:tcPr>
            <w:tcW w:type="dxa" w:w="1662"/>
            <w:shd w:val="clear" w:color="auto" w:fill="FDF8EC"/>
            <w:vAlign w:val="center"/>
          </w:tcPr>
          <w:p>
            <w:pPr>
              <w:jc w:val="left"/>
            </w:pPr>
            <w:r>
              <w:rPr>
                <w:b w:val="0"/>
                <w:i w:val="0"/>
                <w:color w:val="1A2A3A"/>
                <w:sz w:val="18"/>
              </w:rPr>
              <w:t>32</w:t>
            </w:r>
          </w:p>
        </w:tc>
        <w:tc>
          <w:tcPr>
            <w:tcW w:type="dxa" w:w="1662"/>
            <w:shd w:val="clear" w:color="auto" w:fill="FDF8EC"/>
            <w:vAlign w:val="center"/>
          </w:tcPr>
          <w:p>
            <w:pPr>
              <w:jc w:val="left"/>
            </w:pPr>
            <w:r>
              <w:rPr>
                <w:b w:val="0"/>
                <w:i w:val="0"/>
                <w:color w:val="1A2A3A"/>
                <w:sz w:val="18"/>
              </w:rPr>
              <w:t>8.40%</w:t>
            </w:r>
          </w:p>
        </w:tc>
        <w:tc>
          <w:tcPr>
            <w:tcW w:type="dxa" w:w="1662"/>
            <w:shd w:val="clear" w:color="auto" w:fill="FDF8EC"/>
            <w:vAlign w:val="center"/>
          </w:tcPr>
          <w:p>
            <w:pPr>
              <w:jc w:val="left"/>
            </w:pPr>
            <w:r>
              <w:rPr>
                <w:b/>
                <w:i w:val="0"/>
                <w:color w:val="C8A840"/>
                <w:sz w:val="18"/>
              </w:rPr>
              <w:t>40.63%</w:t>
            </w:r>
          </w:p>
        </w:tc>
        <w:tc>
          <w:tcPr>
            <w:tcW w:type="dxa" w:w="1662"/>
            <w:shd w:val="clear" w:color="auto" w:fill="FDF8EC"/>
            <w:vAlign w:val="center"/>
          </w:tcPr>
          <w:p>
            <w:pPr>
              <w:jc w:val="left"/>
            </w:pPr>
            <w:r>
              <w:rPr>
                <w:b w:val="0"/>
                <w:i w:val="0"/>
                <w:color w:val="1A2A3A"/>
                <w:sz w:val="18"/>
              </w:rPr>
              <w:t>£5.36</w:t>
            </w:r>
          </w:p>
        </w:tc>
        <w:tc>
          <w:tcPr>
            <w:tcW w:type="dxa" w:w="1662"/>
            <w:shd w:val="clear" w:color="auto" w:fill="FDF8EC"/>
            <w:vAlign w:val="center"/>
          </w:tcPr>
          <w:p>
            <w:pPr>
              <w:jc w:val="left"/>
            </w:pPr>
            <w:r>
              <w:rPr>
                <w:b w:val="0"/>
                <w:i w:val="0"/>
                <w:color w:val="1A2A3A"/>
                <w:sz w:val="18"/>
              </w:rPr>
              <w:t>£69.74</w:t>
            </w:r>
          </w:p>
        </w:tc>
      </w:tr>
      <w:tr>
        <w:tc>
          <w:tcPr>
            <w:tcW w:type="dxa" w:w="1662"/>
            <w:shd w:val="clear" w:color="auto" w:fill="FFFFFF"/>
            <w:vAlign w:val="center"/>
          </w:tcPr>
          <w:p>
            <w:pPr>
              <w:jc w:val="left"/>
            </w:pPr>
            <w:r>
              <w:rPr>
                <w:b w:val="0"/>
                <w:i w:val="0"/>
                <w:color w:val="1A2A3A"/>
                <w:sz w:val="18"/>
              </w:rPr>
              <w:t>WR12 — Broadway</w:t>
            </w:r>
          </w:p>
        </w:tc>
        <w:tc>
          <w:tcPr>
            <w:tcW w:type="dxa" w:w="1662"/>
            <w:shd w:val="clear" w:color="auto" w:fill="FFFFFF"/>
            <w:vAlign w:val="center"/>
          </w:tcPr>
          <w:p>
            <w:pPr>
              <w:jc w:val="left"/>
            </w:pPr>
            <w:r>
              <w:rPr>
                <w:b w:val="0"/>
                <w:i w:val="0"/>
                <w:color w:val="1A2A3A"/>
                <w:sz w:val="18"/>
              </w:rPr>
              <w:t>5</w:t>
            </w:r>
          </w:p>
        </w:tc>
        <w:tc>
          <w:tcPr>
            <w:tcW w:type="dxa" w:w="1662"/>
            <w:shd w:val="clear" w:color="auto" w:fill="FFFFFF"/>
            <w:vAlign w:val="center"/>
          </w:tcPr>
          <w:p>
            <w:pPr>
              <w:jc w:val="left"/>
            </w:pPr>
            <w:r>
              <w:rPr>
                <w:b w:val="0"/>
                <w:i w:val="0"/>
                <w:color w:val="1A2A3A"/>
                <w:sz w:val="18"/>
              </w:rPr>
              <w:t>4.63%</w:t>
            </w:r>
          </w:p>
        </w:tc>
        <w:tc>
          <w:tcPr>
            <w:tcW w:type="dxa" w:w="1662"/>
            <w:shd w:val="clear" w:color="auto" w:fill="FFFFFF"/>
            <w:vAlign w:val="center"/>
          </w:tcPr>
          <w:p>
            <w:pPr>
              <w:jc w:val="left"/>
            </w:pPr>
            <w:r>
              <w:rPr>
                <w:b w:val="0"/>
                <w:i w:val="0"/>
                <w:color w:val="1A2A3A"/>
                <w:sz w:val="18"/>
              </w:rPr>
              <w:t>20.00%</w:t>
            </w:r>
          </w:p>
        </w:tc>
        <w:tc>
          <w:tcPr>
            <w:tcW w:type="dxa" w:w="1662"/>
            <w:shd w:val="clear" w:color="auto" w:fill="FFFFFF"/>
            <w:vAlign w:val="center"/>
          </w:tcPr>
          <w:p>
            <w:pPr>
              <w:jc w:val="left"/>
            </w:pPr>
            <w:r>
              <w:rPr>
                <w:b w:val="0"/>
                <w:i w:val="0"/>
                <w:color w:val="1A2A3A"/>
                <w:sz w:val="18"/>
              </w:rPr>
              <w:t>£2.85</w:t>
            </w:r>
          </w:p>
        </w:tc>
        <w:tc>
          <w:tcPr>
            <w:tcW w:type="dxa" w:w="1662"/>
            <w:shd w:val="clear" w:color="auto" w:fill="FFFFFF"/>
            <w:vAlign w:val="center"/>
          </w:tcPr>
          <w:p>
            <w:pPr>
              <w:jc w:val="left"/>
            </w:pPr>
            <w:r>
              <w:rPr>
                <w:b w:val="0"/>
                <w:i w:val="0"/>
                <w:color w:val="1A2A3A"/>
                <w:sz w:val="18"/>
              </w:rPr>
              <w:t>£2.85</w:t>
            </w:r>
          </w:p>
        </w:tc>
      </w:tr>
    </w:tbl>
    <w:p/>
    <w:p>
      <w:pPr>
        <w:spacing w:before="0" w:after="120"/>
      </w:pPr>
      <w:r>
        <w:rPr>
          <w:b/>
          <w:color w:val="C8900A"/>
          <w:sz w:val="18"/>
        </w:rPr>
        <w:t xml:space="preserve">⚠  Pershore Outperforming Home Turf: </w:t>
      </w:r>
      <w:r>
        <w:rPr>
          <w:color w:val="1A2A3A"/>
          <w:sz w:val="18"/>
        </w:rPr>
        <w:t>WR10/Pershore converted at 40–47% vs 27.56% for WR11 Evesham in April. A +15% location bid uplift for WR10 is recommended. Smart Bidding flags Pershore weekday mornings (9AM–3PM) as the campaign's strongest positive signal.</w:t>
      </w:r>
    </w:p>
    <w:p>
      <w:pPr>
        <w:spacing w:before="40" w:after="160"/>
        <w:pBdr>
          <w:bottom w:val="single" w:sz="4" w:color="C8A840"/>
        </w:pBdr>
      </w:pPr>
    </w:p>
    <w:p>
      <w:pPr>
        <w:spacing w:before="280" w:after="160"/>
        <w:pBdr>
          <w:bottom w:val="single" w:sz="6" w:color="C8A840"/>
        </w:pBdr>
      </w:pPr>
      <w:r>
        <w:rPr>
          <w:b/>
          <w:color w:val="C8A840"/>
          <w:sz w:val="22"/>
        </w:rPr>
        <w:t xml:space="preserve">5.  </w:t>
      </w:r>
      <w:r>
        <w:rPr>
          <w:b/>
          <w:color w:val="0D2045"/>
          <w:sz w:val="22"/>
        </w:rPr>
        <w:t>AUCTION INSIGHTS &amp; COMPETITION</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d2045"/>
            <w:vAlign w:val="center"/>
          </w:tcPr>
          <w:p>
            <w:pPr>
              <w:jc w:val="left"/>
            </w:pPr>
            <w:r>
              <w:rPr>
                <w:b/>
                <w:i w:val="0"/>
                <w:color w:val="FFFFFF"/>
                <w:sz w:val="16"/>
              </w:rPr>
              <w:t>Competitor</w:t>
            </w:r>
          </w:p>
        </w:tc>
        <w:tc>
          <w:tcPr>
            <w:tcW w:type="dxa" w:w="1994"/>
            <w:shd w:val="clear" w:color="auto" w:fill="0d2045"/>
            <w:vAlign w:val="center"/>
          </w:tcPr>
          <w:p>
            <w:pPr>
              <w:jc w:val="left"/>
            </w:pPr>
            <w:r>
              <w:rPr>
                <w:b/>
                <w:i w:val="0"/>
                <w:color w:val="FFFFFF"/>
                <w:sz w:val="16"/>
              </w:rPr>
              <w:t>Impr. Share</w:t>
            </w:r>
          </w:p>
        </w:tc>
        <w:tc>
          <w:tcPr>
            <w:tcW w:type="dxa" w:w="1994"/>
            <w:shd w:val="clear" w:color="auto" w:fill="0d2045"/>
            <w:vAlign w:val="center"/>
          </w:tcPr>
          <w:p>
            <w:pPr>
              <w:jc w:val="left"/>
            </w:pPr>
            <w:r>
              <w:rPr>
                <w:b/>
                <w:i w:val="0"/>
                <w:color w:val="FFFFFF"/>
                <w:sz w:val="16"/>
              </w:rPr>
              <w:t>Overlap Rate</w:t>
            </w:r>
          </w:p>
        </w:tc>
        <w:tc>
          <w:tcPr>
            <w:tcW w:type="dxa" w:w="1994"/>
            <w:shd w:val="clear" w:color="auto" w:fill="0d2045"/>
            <w:vAlign w:val="center"/>
          </w:tcPr>
          <w:p>
            <w:pPr>
              <w:jc w:val="left"/>
            </w:pPr>
            <w:r>
              <w:rPr>
                <w:b/>
                <w:i w:val="0"/>
                <w:color w:val="FFFFFF"/>
                <w:sz w:val="16"/>
              </w:rPr>
              <w:t>Pos. Above Rate</w:t>
            </w:r>
          </w:p>
        </w:tc>
        <w:tc>
          <w:tcPr>
            <w:tcW w:type="dxa" w:w="1994"/>
            <w:shd w:val="clear" w:color="auto" w:fill="0d2045"/>
            <w:vAlign w:val="center"/>
          </w:tcPr>
          <w:p>
            <w:pPr>
              <w:jc w:val="left"/>
            </w:pPr>
            <w:r>
              <w:rPr>
                <w:b/>
                <w:i w:val="0"/>
                <w:color w:val="FFFFFF"/>
                <w:sz w:val="16"/>
              </w:rPr>
              <w:t>Top of Page</w:t>
            </w:r>
          </w:p>
        </w:tc>
      </w:tr>
      <w:tr>
        <w:tc>
          <w:tcPr>
            <w:tcW w:type="dxa" w:w="1994"/>
            <w:shd w:val="clear" w:color="auto" w:fill="EEF4FB"/>
            <w:vAlign w:val="center"/>
          </w:tcPr>
          <w:p>
            <w:pPr>
              <w:jc w:val="left"/>
            </w:pPr>
            <w:r>
              <w:rPr>
                <w:b/>
                <w:i w:val="0"/>
                <w:color w:val="0D2045"/>
                <w:sz w:val="18"/>
              </w:rPr>
              <w:t>Johnsons (You)</w:t>
            </w:r>
          </w:p>
        </w:tc>
        <w:tc>
          <w:tcPr>
            <w:tcW w:type="dxa" w:w="1994"/>
            <w:shd w:val="clear" w:color="auto" w:fill="EEF4FB"/>
            <w:vAlign w:val="center"/>
          </w:tcPr>
          <w:p>
            <w:pPr>
              <w:jc w:val="left"/>
            </w:pPr>
            <w:r>
              <w:rPr>
                <w:b/>
                <w:i w:val="0"/>
                <w:color w:val="0D2045"/>
                <w:sz w:val="18"/>
              </w:rPr>
              <w:t>20.26%</w:t>
            </w:r>
          </w:p>
        </w:tc>
        <w:tc>
          <w:tcPr>
            <w:tcW w:type="dxa" w:w="1994"/>
            <w:shd w:val="clear" w:color="auto" w:fill="EEF4FB"/>
            <w:vAlign w:val="center"/>
          </w:tcPr>
          <w:p>
            <w:pPr>
              <w:jc w:val="left"/>
            </w:pPr>
            <w:r>
              <w:rPr>
                <w:b/>
                <w:i w:val="0"/>
                <w:color w:val="0D2045"/>
                <w:sz w:val="18"/>
              </w:rPr>
              <w:t>—</w:t>
            </w:r>
          </w:p>
        </w:tc>
        <w:tc>
          <w:tcPr>
            <w:tcW w:type="dxa" w:w="1994"/>
            <w:shd w:val="clear" w:color="auto" w:fill="EEF4FB"/>
            <w:vAlign w:val="center"/>
          </w:tcPr>
          <w:p>
            <w:pPr>
              <w:jc w:val="left"/>
            </w:pPr>
            <w:r>
              <w:rPr>
                <w:b/>
                <w:i w:val="0"/>
                <w:color w:val="0D2045"/>
                <w:sz w:val="18"/>
              </w:rPr>
              <w:t>—</w:t>
            </w:r>
          </w:p>
        </w:tc>
        <w:tc>
          <w:tcPr>
            <w:tcW w:type="dxa" w:w="1994"/>
            <w:shd w:val="clear" w:color="auto" w:fill="EEF4FB"/>
            <w:vAlign w:val="center"/>
          </w:tcPr>
          <w:p>
            <w:pPr>
              <w:jc w:val="left"/>
            </w:pPr>
            <w:r>
              <w:rPr>
                <w:b/>
                <w:i w:val="0"/>
                <w:color w:val="0D2045"/>
                <w:sz w:val="18"/>
              </w:rPr>
              <w:t>54.20%</w:t>
            </w:r>
          </w:p>
        </w:tc>
      </w:tr>
      <w:tr>
        <w:tc>
          <w:tcPr>
            <w:tcW w:type="dxa" w:w="1994"/>
            <w:shd w:val="clear" w:color="auto" w:fill="FFFFFF"/>
            <w:vAlign w:val="center"/>
          </w:tcPr>
          <w:p>
            <w:pPr>
              <w:jc w:val="left"/>
            </w:pPr>
            <w:r>
              <w:rPr>
                <w:b w:val="0"/>
                <w:i w:val="0"/>
                <w:color w:val="1A2A3A"/>
                <w:sz w:val="18"/>
              </w:rPr>
              <w:t>onthemarket.com</w:t>
            </w:r>
          </w:p>
        </w:tc>
        <w:tc>
          <w:tcPr>
            <w:tcW w:type="dxa" w:w="1994"/>
            <w:shd w:val="clear" w:color="auto" w:fill="FFFFFF"/>
            <w:vAlign w:val="center"/>
          </w:tcPr>
          <w:p>
            <w:pPr>
              <w:jc w:val="left"/>
            </w:pPr>
            <w:r>
              <w:rPr>
                <w:b w:val="0"/>
                <w:i w:val="0"/>
                <w:color w:val="1A2A3A"/>
                <w:sz w:val="18"/>
              </w:rPr>
              <w:t>&lt;10%</w:t>
            </w:r>
          </w:p>
        </w:tc>
        <w:tc>
          <w:tcPr>
            <w:tcW w:type="dxa" w:w="1994"/>
            <w:shd w:val="clear" w:color="auto" w:fill="FFFFFF"/>
            <w:vAlign w:val="center"/>
          </w:tcPr>
          <w:p>
            <w:pPr>
              <w:jc w:val="left"/>
            </w:pPr>
            <w:r>
              <w:rPr>
                <w:b w:val="0"/>
                <w:i w:val="0"/>
                <w:color w:val="1A2A3A"/>
                <w:sz w:val="18"/>
              </w:rPr>
              <w:t>6.72%</w:t>
            </w:r>
          </w:p>
        </w:tc>
        <w:tc>
          <w:tcPr>
            <w:tcW w:type="dxa" w:w="1994"/>
            <w:shd w:val="clear" w:color="auto" w:fill="FFFFFF"/>
            <w:vAlign w:val="center"/>
          </w:tcPr>
          <w:p>
            <w:pPr>
              <w:jc w:val="left"/>
            </w:pPr>
            <w:r>
              <w:rPr>
                <w:b w:val="0"/>
                <w:i w:val="0"/>
                <w:color w:val="1A2A3A"/>
                <w:sz w:val="18"/>
              </w:rPr>
              <w:t>56.25%</w:t>
            </w:r>
          </w:p>
        </w:tc>
        <w:tc>
          <w:tcPr>
            <w:tcW w:type="dxa" w:w="1994"/>
            <w:shd w:val="clear" w:color="auto" w:fill="FFFFFF"/>
            <w:vAlign w:val="center"/>
          </w:tcPr>
          <w:p>
            <w:pPr>
              <w:jc w:val="left"/>
            </w:pPr>
            <w:r>
              <w:rPr>
                <w:b w:val="0"/>
                <w:i w:val="0"/>
                <w:color w:val="1A2A3A"/>
                <w:sz w:val="18"/>
              </w:rPr>
              <w:t>94.44%</w:t>
            </w:r>
          </w:p>
        </w:tc>
      </w:tr>
      <w:tr>
        <w:tc>
          <w:tcPr>
            <w:tcW w:type="dxa" w:w="1994"/>
            <w:shd w:val="clear" w:color="auto" w:fill="F7F9FD"/>
            <w:vAlign w:val="center"/>
          </w:tcPr>
          <w:p>
            <w:pPr>
              <w:jc w:val="left"/>
            </w:pPr>
            <w:r>
              <w:rPr>
                <w:b w:val="0"/>
                <w:i w:val="0"/>
                <w:color w:val="1A2A3A"/>
                <w:sz w:val="18"/>
              </w:rPr>
              <w:t>churchill-living.co.uk</w:t>
            </w:r>
          </w:p>
        </w:tc>
        <w:tc>
          <w:tcPr>
            <w:tcW w:type="dxa" w:w="1994"/>
            <w:shd w:val="clear" w:color="auto" w:fill="F7F9FD"/>
            <w:vAlign w:val="center"/>
          </w:tcPr>
          <w:p>
            <w:pPr>
              <w:jc w:val="left"/>
            </w:pPr>
            <w:r>
              <w:rPr>
                <w:b w:val="0"/>
                <w:i w:val="0"/>
                <w:color w:val="1A2A3A"/>
                <w:sz w:val="18"/>
              </w:rPr>
              <w:t>&lt;10%</w:t>
            </w:r>
          </w:p>
        </w:tc>
        <w:tc>
          <w:tcPr>
            <w:tcW w:type="dxa" w:w="1994"/>
            <w:shd w:val="clear" w:color="auto" w:fill="F7F9FD"/>
            <w:vAlign w:val="center"/>
          </w:tcPr>
          <w:p>
            <w:pPr>
              <w:jc w:val="left"/>
            </w:pPr>
            <w:r>
              <w:rPr>
                <w:b w:val="0"/>
                <w:i w:val="0"/>
                <w:color w:val="1A2A3A"/>
                <w:sz w:val="18"/>
              </w:rPr>
              <w:t>0.42%</w:t>
            </w:r>
          </w:p>
        </w:tc>
        <w:tc>
          <w:tcPr>
            <w:tcW w:type="dxa" w:w="1994"/>
            <w:shd w:val="clear" w:color="auto" w:fill="F7F9FD"/>
            <w:vAlign w:val="center"/>
          </w:tcPr>
          <w:p>
            <w:pPr>
              <w:jc w:val="left"/>
            </w:pPr>
            <w:r>
              <w:rPr>
                <w:b w:val="0"/>
                <w:i w:val="0"/>
                <w:color w:val="1A2A3A"/>
                <w:sz w:val="18"/>
              </w:rPr>
              <w:t>0.00%</w:t>
            </w:r>
          </w:p>
        </w:tc>
        <w:tc>
          <w:tcPr>
            <w:tcW w:type="dxa" w:w="1994"/>
            <w:shd w:val="clear" w:color="auto" w:fill="F7F9FD"/>
            <w:vAlign w:val="center"/>
          </w:tcPr>
          <w:p>
            <w:pPr>
              <w:jc w:val="left"/>
            </w:pPr>
            <w:r>
              <w:rPr>
                <w:b w:val="0"/>
                <w:i w:val="0"/>
                <w:color w:val="1A2A3A"/>
                <w:sz w:val="18"/>
              </w:rPr>
              <w:t>0.00%</w:t>
            </w:r>
          </w:p>
        </w:tc>
      </w:tr>
    </w:tbl>
    <w:p/>
    <w:p>
      <w:pPr>
        <w:spacing w:before="0"/>
      </w:pPr>
      <w:r>
        <w:rPr>
          <w:b/>
          <w:color w:val="0A5A20"/>
          <w:sz w:val="18"/>
        </w:rPr>
        <w:t xml:space="preserve">✓  Significant Structural Advantage: </w:t>
      </w:r>
      <w:r>
        <w:rPr>
          <w:color w:val="1A2A3A"/>
          <w:sz w:val="18"/>
        </w:rPr>
        <w:t>Both competitors hold less than 10% impression share. Rightmove, Zoopla, and all major portals are entirely absent from valuation-intent keyword auctions. Johnsons' 20.26% impression share is budget-constrained, not competition-constrained — every additional pound of budget goes into largely uncontested space.</w:t>
      </w:r>
    </w:p>
    <w:p>
      <w:pPr>
        <w:spacing w:before="40" w:after="160"/>
        <w:pBdr>
          <w:bottom w:val="single" w:sz="4" w:color="C8A840"/>
        </w:pBdr>
      </w:pPr>
    </w:p>
    <w:p>
      <w:pPr>
        <w:spacing w:before="280" w:after="160"/>
        <w:pBdr>
          <w:bottom w:val="single" w:sz="6" w:color="C8A840"/>
        </w:pBdr>
      </w:pPr>
      <w:r>
        <w:rPr>
          <w:b/>
          <w:color w:val="C8A840"/>
          <w:sz w:val="22"/>
        </w:rPr>
        <w:t xml:space="preserve">6.  </w:t>
      </w:r>
      <w:r>
        <w:rPr>
          <w:b/>
          <w:color w:val="0D2045"/>
          <w:sz w:val="22"/>
        </w:rPr>
        <w:t>CAMPAIGN ACTIVITY &amp; OPTIMISATIONS</w:t>
      </w:r>
    </w:p>
    <w:p>
      <w:pPr>
        <w:spacing w:before="80" w:after="80"/>
      </w:pPr>
      <w:r>
        <w:rPr>
          <w:b/>
          <w:i w:val="0"/>
          <w:color w:val="0D2045"/>
          <w:sz w:val="17"/>
        </w:rPr>
        <w:t>MAY 2026 — IN-MONTH CHANGES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0d2045"/>
            <w:vAlign w:val="center"/>
          </w:tcPr>
          <w:p>
            <w:pPr>
              <w:jc w:val="left"/>
            </w:pPr>
            <w:r>
              <w:rPr>
                <w:b/>
                <w:i w:val="0"/>
                <w:color w:val="FFFFFF"/>
                <w:sz w:val="16"/>
              </w:rPr>
              <w:t>Date</w:t>
            </w:r>
          </w:p>
        </w:tc>
        <w:tc>
          <w:tcPr>
            <w:tcW w:type="dxa" w:w="3324"/>
            <w:shd w:val="clear" w:color="auto" w:fill="0d2045"/>
            <w:vAlign w:val="center"/>
          </w:tcPr>
          <w:p>
            <w:pPr>
              <w:jc w:val="left"/>
            </w:pPr>
            <w:r>
              <w:rPr>
                <w:b/>
                <w:i w:val="0"/>
                <w:color w:val="FFFFFF"/>
                <w:sz w:val="16"/>
              </w:rPr>
              <w:t>Change</w:t>
            </w:r>
          </w:p>
        </w:tc>
        <w:tc>
          <w:tcPr>
            <w:tcW w:type="dxa" w:w="3324"/>
            <w:shd w:val="clear" w:color="auto" w:fill="0d2045"/>
            <w:vAlign w:val="center"/>
          </w:tcPr>
          <w:p>
            <w:pPr>
              <w:jc w:val="left"/>
            </w:pPr>
            <w:r>
              <w:rPr>
                <w:b/>
                <w:i w:val="0"/>
                <w:color w:val="FFFFFF"/>
                <w:sz w:val="16"/>
              </w:rPr>
              <w:t>Detail</w:t>
            </w:r>
          </w:p>
        </w:tc>
      </w:tr>
      <w:tr>
        <w:tc>
          <w:tcPr>
            <w:tcW w:type="dxa" w:w="3324"/>
            <w:shd w:val="clear" w:color="auto" w:fill="F7F9FD"/>
            <w:vAlign w:val="center"/>
          </w:tcPr>
          <w:p>
            <w:pPr>
              <w:jc w:val="left"/>
            </w:pPr>
            <w:r>
              <w:rPr>
                <w:b w:val="0"/>
                <w:i w:val="0"/>
                <w:sz w:val="18"/>
              </w:rPr>
              <w:t>12 May</w:t>
            </w:r>
          </w:p>
        </w:tc>
        <w:tc>
          <w:tcPr>
            <w:tcW w:type="dxa" w:w="3324"/>
            <w:shd w:val="clear" w:color="auto" w:fill="F7F9FD"/>
            <w:vAlign w:val="center"/>
          </w:tcPr>
          <w:p>
            <w:pPr>
              <w:jc w:val="left"/>
            </w:pPr>
            <w:r>
              <w:rPr>
                <w:b/>
                <w:i w:val="0"/>
                <w:sz w:val="18"/>
              </w:rPr>
              <w:t>Image extension added</w:t>
            </w:r>
          </w:p>
        </w:tc>
        <w:tc>
          <w:tcPr>
            <w:tcW w:type="dxa" w:w="3324"/>
            <w:shd w:val="clear" w:color="auto" w:fill="F7F9FD"/>
            <w:vAlign w:val="center"/>
          </w:tcPr>
          <w:p>
            <w:pPr>
              <w:jc w:val="left"/>
            </w:pPr>
            <w:r>
              <w:rPr>
                <w:b w:val="0"/>
                <w:i w:val="0"/>
                <w:sz w:val="18"/>
              </w:rPr>
              <w:t>2 campaign assets created via Google recommendation</w:t>
            </w:r>
          </w:p>
        </w:tc>
      </w:tr>
      <w:tr>
        <w:tc>
          <w:tcPr>
            <w:tcW w:type="dxa" w:w="3324"/>
            <w:shd w:val="clear" w:color="auto" w:fill="FFFFFF"/>
            <w:vAlign w:val="center"/>
          </w:tcPr>
          <w:p>
            <w:pPr>
              <w:jc w:val="left"/>
            </w:pPr>
            <w:r>
              <w:rPr>
                <w:b w:val="0"/>
                <w:i w:val="0"/>
                <w:sz w:val="18"/>
              </w:rPr>
              <w:t>14 May</w:t>
            </w:r>
          </w:p>
        </w:tc>
        <w:tc>
          <w:tcPr>
            <w:tcW w:type="dxa" w:w="3324"/>
            <w:shd w:val="clear" w:color="auto" w:fill="FFFFFF"/>
            <w:vAlign w:val="center"/>
          </w:tcPr>
          <w:p>
            <w:pPr>
              <w:jc w:val="left"/>
            </w:pPr>
            <w:r>
              <w:rPr>
                <w:b/>
                <w:i w:val="0"/>
                <w:sz w:val="18"/>
              </w:rPr>
              <w:t>Ad &amp; URL updates</w:t>
            </w:r>
          </w:p>
        </w:tc>
        <w:tc>
          <w:tcPr>
            <w:tcW w:type="dxa" w:w="3324"/>
            <w:shd w:val="clear" w:color="auto" w:fill="FFFFFF"/>
            <w:vAlign w:val="center"/>
          </w:tcPr>
          <w:p>
            <w:pPr>
              <w:jc w:val="left"/>
            </w:pPr>
            <w:r>
              <w:rPr>
                <w:b w:val="0"/>
                <w:i w:val="0"/>
                <w:sz w:val="18"/>
              </w:rPr>
              <w:t>Responsive search ad updated, 3 final URL changes, 6 bid adjustments, display expansion applied</w:t>
            </w:r>
          </w:p>
        </w:tc>
      </w:tr>
      <w:tr>
        <w:tc>
          <w:tcPr>
            <w:tcW w:type="dxa" w:w="3324"/>
            <w:shd w:val="clear" w:color="auto" w:fill="F7F9FD"/>
            <w:vAlign w:val="center"/>
          </w:tcPr>
          <w:p>
            <w:pPr>
              <w:jc w:val="left"/>
            </w:pPr>
            <w:r>
              <w:rPr>
                <w:b w:val="0"/>
                <w:i w:val="0"/>
                <w:sz w:val="18"/>
              </w:rPr>
              <w:t>29 May</w:t>
            </w:r>
          </w:p>
        </w:tc>
        <w:tc>
          <w:tcPr>
            <w:tcW w:type="dxa" w:w="3324"/>
            <w:shd w:val="clear" w:color="auto" w:fill="F7F9FD"/>
            <w:vAlign w:val="center"/>
          </w:tcPr>
          <w:p>
            <w:pPr>
              <w:jc w:val="left"/>
            </w:pPr>
            <w:r>
              <w:rPr>
                <w:b/>
                <w:i w:val="0"/>
                <w:sz w:val="18"/>
              </w:rPr>
              <w:t>Redundant keywords removed</w:t>
            </w:r>
          </w:p>
        </w:tc>
        <w:tc>
          <w:tcPr>
            <w:tcW w:type="dxa" w:w="3324"/>
            <w:shd w:val="clear" w:color="auto" w:fill="F7F9FD"/>
            <w:vAlign w:val="center"/>
          </w:tcPr>
          <w:p>
            <w:pPr>
              <w:jc w:val="left"/>
            </w:pPr>
            <w:r>
              <w:rPr>
                <w:b w:val="0"/>
                <w:i w:val="0"/>
                <w:sz w:val="18"/>
              </w:rPr>
              <w:t>2 phrase match keywords removed by Google auto-apply</w:t>
            </w:r>
          </w:p>
        </w:tc>
      </w:tr>
      <w:tr>
        <w:tc>
          <w:tcPr>
            <w:tcW w:type="dxa" w:w="3324"/>
            <w:shd w:val="clear" w:color="auto" w:fill="FFFFFF"/>
            <w:vAlign w:val="center"/>
          </w:tcPr>
          <w:p>
            <w:pPr>
              <w:jc w:val="left"/>
            </w:pPr>
            <w:r>
              <w:rPr>
                <w:b w:val="0"/>
                <w:i w:val="0"/>
                <w:sz w:val="18"/>
              </w:rPr>
              <w:t>26 May</w:t>
            </w:r>
          </w:p>
        </w:tc>
        <w:tc>
          <w:tcPr>
            <w:tcW w:type="dxa" w:w="3324"/>
            <w:shd w:val="clear" w:color="auto" w:fill="FFFFFF"/>
            <w:vAlign w:val="center"/>
          </w:tcPr>
          <w:p>
            <w:pPr>
              <w:jc w:val="left"/>
            </w:pPr>
            <w:r>
              <w:rPr>
                <w:b/>
                <w:i w:val="0"/>
                <w:sz w:val="18"/>
              </w:rPr>
              <w:t>Negative keywords added</w:t>
            </w:r>
          </w:p>
        </w:tc>
        <w:tc>
          <w:tcPr>
            <w:tcW w:type="dxa" w:w="3324"/>
            <w:shd w:val="clear" w:color="auto" w:fill="FFFFFF"/>
            <w:vAlign w:val="center"/>
          </w:tcPr>
          <w:p>
            <w:pPr>
              <w:jc w:val="left"/>
            </w:pPr>
            <w:r>
              <w:rPr>
                <w:b w:val="0"/>
                <w:i w:val="0"/>
                <w:sz w:val="18"/>
              </w:rPr>
              <w:t>2 negative broad match keywords added</w:t>
            </w:r>
          </w:p>
        </w:tc>
      </w:tr>
      <w:tr>
        <w:tc>
          <w:tcPr>
            <w:tcW w:type="dxa" w:w="3324"/>
            <w:shd w:val="clear" w:color="auto" w:fill="F7F9FD"/>
            <w:vAlign w:val="center"/>
          </w:tcPr>
          <w:p>
            <w:pPr>
              <w:jc w:val="left"/>
            </w:pPr>
            <w:r>
              <w:rPr>
                <w:b w:val="0"/>
                <w:i w:val="0"/>
                <w:sz w:val="18"/>
              </w:rPr>
              <w:t>31 May</w:t>
            </w:r>
          </w:p>
        </w:tc>
        <w:tc>
          <w:tcPr>
            <w:tcW w:type="dxa" w:w="3324"/>
            <w:shd w:val="clear" w:color="auto" w:fill="F7F9FD"/>
            <w:vAlign w:val="center"/>
          </w:tcPr>
          <w:p>
            <w:pPr>
              <w:jc w:val="left"/>
            </w:pPr>
            <w:r>
              <w:rPr>
                <w:b/>
                <w:i w:val="0"/>
                <w:sz w:val="18"/>
              </w:rPr>
              <w:t>Negative keywords added</w:t>
            </w:r>
          </w:p>
        </w:tc>
        <w:tc>
          <w:tcPr>
            <w:tcW w:type="dxa" w:w="3324"/>
            <w:shd w:val="clear" w:color="auto" w:fill="F7F9FD"/>
            <w:vAlign w:val="center"/>
          </w:tcPr>
          <w:p>
            <w:pPr>
              <w:jc w:val="left"/>
            </w:pPr>
            <w:r>
              <w:rPr>
                <w:b w:val="0"/>
                <w:i w:val="0"/>
                <w:sz w:val="18"/>
              </w:rPr>
              <w:t>3 negative exact match keywords added</w:t>
            </w:r>
          </w:p>
        </w:tc>
      </w:tr>
    </w:tbl>
    <w:p/>
    <w:p>
      <w:pPr>
        <w:spacing w:before="80" w:after="80"/>
      </w:pPr>
      <w:r>
        <w:rPr>
          <w:b/>
          <w:i w:val="0"/>
          <w:color w:val="0D2045"/>
          <w:sz w:val="17"/>
        </w:rPr>
        <w:t>2 JUNE 2026 — POST-MAY STRUCTURAL OVERHAUL</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0d2045"/>
            <w:vAlign w:val="center"/>
          </w:tcPr>
          <w:p>
            <w:pPr>
              <w:jc w:val="left"/>
            </w:pPr>
            <w:r>
              <w:rPr>
                <w:b/>
                <w:i w:val="0"/>
                <w:color w:val="FFFFFF"/>
                <w:sz w:val="16"/>
              </w:rPr>
              <w:t>Change</w:t>
            </w:r>
          </w:p>
        </w:tc>
        <w:tc>
          <w:tcPr>
            <w:tcW w:type="dxa" w:w="3324"/>
            <w:shd w:val="clear" w:color="auto" w:fill="0d2045"/>
            <w:vAlign w:val="center"/>
          </w:tcPr>
          <w:p>
            <w:pPr>
              <w:jc w:val="left"/>
            </w:pPr>
            <w:r>
              <w:rPr>
                <w:b/>
                <w:i w:val="0"/>
                <w:color w:val="FFFFFF"/>
                <w:sz w:val="16"/>
              </w:rPr>
              <w:t>Detail</w:t>
            </w:r>
          </w:p>
        </w:tc>
        <w:tc>
          <w:tcPr>
            <w:tcW w:type="dxa" w:w="3324"/>
            <w:shd w:val="clear" w:color="auto" w:fill="0d2045"/>
            <w:vAlign w:val="center"/>
          </w:tcPr>
          <w:p>
            <w:pPr>
              <w:jc w:val="left"/>
            </w:pPr>
            <w:r>
              <w:rPr>
                <w:b/>
                <w:i w:val="0"/>
                <w:color w:val="FFFFFF"/>
                <w:sz w:val="16"/>
              </w:rPr>
              <w:t>Impact</w:t>
            </w:r>
          </w:p>
        </w:tc>
      </w:tr>
      <w:tr>
        <w:tc>
          <w:tcPr>
            <w:tcW w:type="dxa" w:w="3324"/>
            <w:shd w:val="clear" w:color="auto" w:fill="F7F9FD"/>
            <w:vAlign w:val="center"/>
          </w:tcPr>
          <w:p>
            <w:pPr>
              <w:jc w:val="left"/>
            </w:pPr>
            <w:r>
              <w:rPr>
                <w:b/>
                <w:i w:val="0"/>
                <w:sz w:val="18"/>
              </w:rPr>
              <w:t>New dedicated landing page</w:t>
            </w:r>
          </w:p>
        </w:tc>
        <w:tc>
          <w:tcPr>
            <w:tcW w:type="dxa" w:w="3324"/>
            <w:shd w:val="clear" w:color="auto" w:fill="F7F9FD"/>
            <w:vAlign w:val="center"/>
          </w:tcPr>
          <w:p>
            <w:pPr>
              <w:jc w:val="left"/>
            </w:pPr>
            <w:r>
              <w:rPr>
                <w:b w:val="0"/>
                <w:i w:val="0"/>
                <w:sz w:val="18"/>
              </w:rPr>
              <w:t>All keywords now route to valuations.johnsons-property.com</w:t>
            </w:r>
          </w:p>
        </w:tc>
        <w:tc>
          <w:tcPr>
            <w:tcW w:type="dxa" w:w="3324"/>
            <w:shd w:val="clear" w:color="auto" w:fill="F7F9FD"/>
            <w:vAlign w:val="center"/>
          </w:tcPr>
          <w:p>
            <w:pPr>
              <w:jc w:val="left"/>
            </w:pPr>
            <w:r>
              <w:rPr>
                <w:b/>
                <w:i w:val="0"/>
                <w:color w:val="0A5A20"/>
                <w:sz w:val="18"/>
              </w:rPr>
              <w:t>✓ Fixes conversion failure</w:t>
            </w:r>
          </w:p>
        </w:tc>
      </w:tr>
      <w:tr>
        <w:tc>
          <w:tcPr>
            <w:tcW w:type="dxa" w:w="3324"/>
            <w:shd w:val="clear" w:color="auto" w:fill="FFFFFF"/>
            <w:vAlign w:val="center"/>
          </w:tcPr>
          <w:p>
            <w:pPr>
              <w:jc w:val="left"/>
            </w:pPr>
            <w:r>
              <w:rPr>
                <w:b/>
                <w:i w:val="0"/>
                <w:sz w:val="18"/>
              </w:rPr>
              <w:t>Keyword restructure</w:t>
            </w:r>
          </w:p>
        </w:tc>
        <w:tc>
          <w:tcPr>
            <w:tcW w:type="dxa" w:w="3324"/>
            <w:shd w:val="clear" w:color="auto" w:fill="FFFFFF"/>
            <w:vAlign w:val="center"/>
          </w:tcPr>
          <w:p>
            <w:pPr>
              <w:jc w:val="left"/>
            </w:pPr>
            <w:r>
              <w:rPr>
                <w:b w:val="0"/>
                <w:i w:val="0"/>
                <w:sz w:val="18"/>
              </w:rPr>
              <w:t>Sell-intent terms removed; high-intent valuation terms added (free valuation evesham, how much is my house worth, free house valuation, property valuation evesham)</w:t>
            </w:r>
          </w:p>
        </w:tc>
        <w:tc>
          <w:tcPr>
            <w:tcW w:type="dxa" w:w="3324"/>
            <w:shd w:val="clear" w:color="auto" w:fill="FFFFFF"/>
            <w:vAlign w:val="center"/>
          </w:tcPr>
          <w:p>
            <w:pPr>
              <w:jc w:val="left"/>
            </w:pPr>
            <w:r>
              <w:rPr>
                <w:b/>
                <w:i w:val="0"/>
                <w:color w:val="0A5A20"/>
                <w:sz w:val="18"/>
              </w:rPr>
              <w:t>✓ Higher intent traffic</w:t>
            </w:r>
          </w:p>
        </w:tc>
      </w:tr>
      <w:tr>
        <w:tc>
          <w:tcPr>
            <w:tcW w:type="dxa" w:w="3324"/>
            <w:shd w:val="clear" w:color="auto" w:fill="F7F9FD"/>
            <w:vAlign w:val="center"/>
          </w:tcPr>
          <w:p>
            <w:pPr>
              <w:jc w:val="left"/>
            </w:pPr>
            <w:r>
              <w:rPr>
                <w:b/>
                <w:i w:val="0"/>
                <w:sz w:val="18"/>
              </w:rPr>
              <w:t>Brand terms separated</w:t>
            </w:r>
          </w:p>
        </w:tc>
        <w:tc>
          <w:tcPr>
            <w:tcW w:type="dxa" w:w="3324"/>
            <w:shd w:val="clear" w:color="auto" w:fill="F7F9FD"/>
            <w:vAlign w:val="center"/>
          </w:tcPr>
          <w:p>
            <w:pPr>
              <w:jc w:val="left"/>
            </w:pPr>
            <w:r>
              <w:rPr>
                <w:b w:val="0"/>
                <w:i w:val="0"/>
                <w:sz w:val="18"/>
              </w:rPr>
              <w:t>johnsons evesham, Johnsons Property Consultants, johnsons estate agents evesham moved to dedicated branded campaign</w:t>
            </w:r>
          </w:p>
        </w:tc>
        <w:tc>
          <w:tcPr>
            <w:tcW w:type="dxa" w:w="3324"/>
            <w:shd w:val="clear" w:color="auto" w:fill="F7F9FD"/>
            <w:vAlign w:val="center"/>
          </w:tcPr>
          <w:p>
            <w:pPr>
              <w:jc w:val="left"/>
            </w:pPr>
            <w:r>
              <w:rPr>
                <w:b/>
                <w:i w:val="0"/>
                <w:color w:val="0A5A20"/>
                <w:sz w:val="18"/>
              </w:rPr>
              <w:t>✓ Frees ~£45–50/month</w:t>
            </w:r>
          </w:p>
        </w:tc>
      </w:tr>
      <w:tr>
        <w:tc>
          <w:tcPr>
            <w:tcW w:type="dxa" w:w="3324"/>
            <w:shd w:val="clear" w:color="auto" w:fill="FFFFFF"/>
            <w:vAlign w:val="center"/>
          </w:tcPr>
          <w:p>
            <w:pPr>
              <w:jc w:val="left"/>
            </w:pPr>
            <w:r>
              <w:rPr>
                <w:b/>
                <w:i w:val="0"/>
                <w:sz w:val="18"/>
              </w:rPr>
              <w:t>24 new negative keywords</w:t>
            </w:r>
          </w:p>
        </w:tc>
        <w:tc>
          <w:tcPr>
            <w:tcW w:type="dxa" w:w="3324"/>
            <w:shd w:val="clear" w:color="auto" w:fill="FFFFFF"/>
            <w:vAlign w:val="center"/>
          </w:tcPr>
          <w:p>
            <w:pPr>
              <w:jc w:val="left"/>
            </w:pPr>
            <w:r>
              <w:rPr>
                <w:b w:val="0"/>
                <w:i w:val="0"/>
                <w:sz w:val="18"/>
              </w:rPr>
              <w:t>Filtering: jobs, rentals, mortgages, online valuations, purplebricks, conveyancing, stamp duty, buy-intent queries</w:t>
            </w:r>
          </w:p>
        </w:tc>
        <w:tc>
          <w:tcPr>
            <w:tcW w:type="dxa" w:w="3324"/>
            <w:shd w:val="clear" w:color="auto" w:fill="FFFFFF"/>
            <w:vAlign w:val="center"/>
          </w:tcPr>
          <w:p>
            <w:pPr>
              <w:jc w:val="left"/>
            </w:pPr>
            <w:r>
              <w:rPr>
                <w:b/>
                <w:i w:val="0"/>
                <w:color w:val="0A5A20"/>
                <w:sz w:val="18"/>
              </w:rPr>
              <w:t>✓ Reduces wasted spend</w:t>
            </w:r>
          </w:p>
        </w:tc>
      </w:tr>
      <w:tr>
        <w:tc>
          <w:tcPr>
            <w:tcW w:type="dxa" w:w="3324"/>
            <w:shd w:val="clear" w:color="auto" w:fill="F7F9FD"/>
            <w:vAlign w:val="center"/>
          </w:tcPr>
          <w:p>
            <w:pPr>
              <w:jc w:val="left"/>
            </w:pPr>
            <w:r>
              <w:rPr>
                <w:b/>
                <w:i w:val="0"/>
                <w:sz w:val="18"/>
              </w:rPr>
              <w:t>Competitor terms added</w:t>
            </w:r>
          </w:p>
        </w:tc>
        <w:tc>
          <w:tcPr>
            <w:tcW w:type="dxa" w:w="3324"/>
            <w:shd w:val="clear" w:color="auto" w:fill="F7F9FD"/>
            <w:vAlign w:val="center"/>
          </w:tcPr>
          <w:p>
            <w:pPr>
              <w:jc w:val="left"/>
            </w:pPr>
            <w:r>
              <w:rPr>
                <w:b w:val="0"/>
                <w:i w:val="0"/>
                <w:sz w:val="18"/>
              </w:rPr>
              <w:t>christian lewis valuation, christian lewis estate agents valuation added</w:t>
            </w:r>
          </w:p>
        </w:tc>
        <w:tc>
          <w:tcPr>
            <w:tcW w:type="dxa" w:w="3324"/>
            <w:shd w:val="clear" w:color="auto" w:fill="F7F9FD"/>
            <w:vAlign w:val="center"/>
          </w:tcPr>
          <w:p>
            <w:pPr>
              <w:jc w:val="left"/>
            </w:pPr>
            <w:r>
              <w:rPr>
                <w:b/>
                <w:i w:val="0"/>
                <w:color w:val="0D2045"/>
                <w:sz w:val="18"/>
              </w:rPr>
              <w:t>Captures competitor searches</w:t>
            </w:r>
          </w:p>
        </w:tc>
      </w:tr>
      <w:tr>
        <w:tc>
          <w:tcPr>
            <w:tcW w:type="dxa" w:w="3324"/>
            <w:shd w:val="clear" w:color="auto" w:fill="FFFFFF"/>
            <w:vAlign w:val="center"/>
          </w:tcPr>
          <w:p>
            <w:pPr>
              <w:jc w:val="left"/>
            </w:pPr>
            <w:r>
              <w:rPr>
                <w:b/>
                <w:i w:val="0"/>
                <w:sz w:val="18"/>
              </w:rPr>
              <w:t>AI automation disabled</w:t>
            </w:r>
          </w:p>
        </w:tc>
        <w:tc>
          <w:tcPr>
            <w:tcW w:type="dxa" w:w="3324"/>
            <w:shd w:val="clear" w:color="auto" w:fill="FFFFFF"/>
            <w:vAlign w:val="center"/>
          </w:tcPr>
          <w:p>
            <w:pPr>
              <w:jc w:val="left"/>
            </w:pPr>
            <w:r>
              <w:rPr>
                <w:b w:val="0"/>
                <w:i w:val="0"/>
                <w:sz w:val="18"/>
              </w:rPr>
              <w:t>Auto-created assets and AI Max turned off</w:t>
            </w:r>
          </w:p>
        </w:tc>
        <w:tc>
          <w:tcPr>
            <w:tcW w:type="dxa" w:w="3324"/>
            <w:shd w:val="clear" w:color="auto" w:fill="FFFFFF"/>
            <w:vAlign w:val="center"/>
          </w:tcPr>
          <w:p>
            <w:pPr>
              <w:jc w:val="left"/>
            </w:pPr>
            <w:r>
              <w:rPr>
                <w:b/>
                <w:i w:val="0"/>
                <w:color w:val="0D2045"/>
                <w:sz w:val="18"/>
              </w:rPr>
              <w:t>Full manual control</w:t>
            </w:r>
          </w:p>
        </w:tc>
      </w:tr>
      <w:tr>
        <w:tc>
          <w:tcPr>
            <w:tcW w:type="dxa" w:w="3324"/>
            <w:shd w:val="clear" w:color="auto" w:fill="F7F9FD"/>
            <w:vAlign w:val="center"/>
          </w:tcPr>
          <w:p>
            <w:pPr>
              <w:jc w:val="left"/>
            </w:pPr>
            <w:r>
              <w:rPr>
                <w:b/>
                <w:i w:val="0"/>
                <w:sz w:val="18"/>
              </w:rPr>
              <w:t>Display Network removed</w:t>
            </w:r>
          </w:p>
        </w:tc>
        <w:tc>
          <w:tcPr>
            <w:tcW w:type="dxa" w:w="3324"/>
            <w:shd w:val="clear" w:color="auto" w:fill="F7F9FD"/>
            <w:vAlign w:val="center"/>
          </w:tcPr>
          <w:p>
            <w:pPr>
              <w:jc w:val="left"/>
            </w:pPr>
            <w:r>
              <w:rPr>
                <w:b w:val="0"/>
                <w:i w:val="0"/>
                <w:sz w:val="18"/>
              </w:rPr>
              <w:t>Campaign reverted to Search-only</w:t>
            </w:r>
          </w:p>
        </w:tc>
        <w:tc>
          <w:tcPr>
            <w:tcW w:type="dxa" w:w="3324"/>
            <w:shd w:val="clear" w:color="auto" w:fill="F7F9FD"/>
            <w:vAlign w:val="center"/>
          </w:tcPr>
          <w:p>
            <w:pPr>
              <w:jc w:val="left"/>
            </w:pPr>
            <w:r>
              <w:rPr>
                <w:b/>
                <w:i w:val="0"/>
                <w:color w:val="0D2045"/>
                <w:sz w:val="18"/>
              </w:rPr>
              <w:t>Concentrates spend on high-intent traffic</w:t>
            </w:r>
          </w:p>
        </w:tc>
      </w:tr>
    </w:tbl>
    <w:p>
      <w:pPr>
        <w:spacing w:before="40" w:after="160"/>
        <w:pBdr>
          <w:bottom w:val="single" w:sz="4" w:color="C8A840"/>
        </w:pBdr>
      </w:pPr>
    </w:p>
    <w:p>
      <w:pPr>
        <w:spacing w:before="280" w:after="160"/>
        <w:pBdr>
          <w:bottom w:val="single" w:sz="6" w:color="C8A840"/>
        </w:pBdr>
      </w:pPr>
      <w:r>
        <w:rPr>
          <w:b/>
          <w:color w:val="C8A840"/>
          <w:sz w:val="22"/>
        </w:rPr>
        <w:t xml:space="preserve">7.  </w:t>
      </w:r>
      <w:r>
        <w:rPr>
          <w:b/>
          <w:color w:val="0D2045"/>
          <w:sz w:val="22"/>
        </w:rPr>
        <w:t>RECOMMENDATIONS &amp; JUNE 2026 TARGETS</w:t>
      </w:r>
    </w:p>
    <w:p>
      <w:pPr>
        <w:spacing w:before="160" w:after="80"/>
      </w:pPr>
      <w:r>
        <w:rPr>
          <w:b/>
          <w:color w:val="0D2045"/>
          <w:sz w:val="19"/>
        </w:rPr>
        <w:t>🔴  IMMEDIATE</w:t>
      </w:r>
    </w:p>
    <w:p>
      <w:pPr>
        <w:pStyle w:val="ListBullet"/>
        <w:spacing w:before="40" w:after="40"/>
        <w:ind w:left="454"/>
      </w:pPr>
      <w:r>
        <w:rPr>
          <w:color w:val="1A2A3A"/>
          <w:sz w:val="19"/>
        </w:rPr>
        <w:t>Test the new landing page (valuations.johnsons-property.com) end-to-end on iOS and Android — confirm form submissions arrive in Johnsons' inbox and trigger Google conversion tracking correctly.</w:t>
      </w:r>
    </w:p>
    <w:p>
      <w:pPr>
        <w:pStyle w:val="ListBullet"/>
        <w:spacing w:before="40" w:after="40"/>
        <w:ind w:left="454"/>
      </w:pPr>
      <w:r>
        <w:rPr>
          <w:color w:val="1A2A3A"/>
          <w:sz w:val="19"/>
        </w:rPr>
        <w:t>Add call conversion tracking — phone bookings from ad clicks are currently invisible in the data.</w:t>
      </w:r>
    </w:p>
    <w:p>
      <w:pPr>
        <w:pStyle w:val="ListBullet"/>
        <w:spacing w:before="40" w:after="40"/>
        <w:ind w:left="454"/>
      </w:pPr>
      <w:r>
        <w:rPr>
          <w:color w:val="1A2A3A"/>
          <w:sz w:val="19"/>
        </w:rPr>
        <w:t>Add audience observation layers: "In-market: Property for sale" and "Moving soon" — builds targeting data without restricting reach.</w:t>
      </w:r>
    </w:p>
    <w:p>
      <w:pPr>
        <w:spacing w:before="160" w:after="80"/>
      </w:pPr>
      <w:r>
        <w:rPr>
          <w:b/>
          <w:color w:val="0D2045"/>
          <w:sz w:val="19"/>
        </w:rPr>
        <w:t>🟡  SHORT TERM — NEXT 2–4 WEEKS</w:t>
      </w:r>
    </w:p>
    <w:p>
      <w:pPr>
        <w:pStyle w:val="ListBullet"/>
        <w:spacing w:before="40" w:after="40"/>
        <w:ind w:left="454"/>
      </w:pPr>
      <w:r>
        <w:rPr>
          <w:color w:val="1A2A3A"/>
          <w:sz w:val="19"/>
        </w:rPr>
        <w:t>Apply -20% bid modifier on Saturdays and Sundays. April: Saturday £9.98/conv. vs Thursday £3.63/conv. Redirect saved spend to Thu–Tue windows.</w:t>
      </w:r>
    </w:p>
    <w:p>
      <w:pPr>
        <w:pStyle w:val="ListBullet"/>
        <w:spacing w:before="40" w:after="40"/>
        <w:ind w:left="454"/>
      </w:pPr>
      <w:r>
        <w:rPr>
          <w:color w:val="1A2A3A"/>
          <w:sz w:val="19"/>
        </w:rPr>
        <w:t>Apply +15% location bid uplift for WR10/Pershore. April: 47.06% conversion rate vs 27.56% for WR11.</w:t>
      </w:r>
    </w:p>
    <w:p>
      <w:pPr>
        <w:pStyle w:val="ListBullet"/>
        <w:spacing w:before="40" w:after="40"/>
        <w:ind w:left="454"/>
      </w:pPr>
      <w:r>
        <w:rPr>
          <w:color w:val="1A2A3A"/>
          <w:sz w:val="19"/>
        </w:rPr>
        <w:t>Apply -20% tablet bid adjustment (confirmed negative device signal from April data).</w:t>
      </w:r>
    </w:p>
    <w:p>
      <w:pPr>
        <w:pStyle w:val="ListBullet"/>
        <w:spacing w:before="40" w:after="40"/>
        <w:ind w:left="454"/>
      </w:pPr>
      <w:r>
        <w:rPr>
          <w:color w:val="1A2A3A"/>
          <w:sz w:val="19"/>
        </w:rPr>
        <w:t>Launch dedicated branded campaign at £3–5/day for johnsons terms. CPCs under £0.50 expected, freeing ~£45–50/month of main campaign budget for prospecting.</w:t>
      </w:r>
    </w:p>
    <w:p>
      <w:pPr>
        <w:spacing w:before="160" w:after="80"/>
      </w:pPr>
      <w:r>
        <w:rPr>
          <w:b/>
          <w:color w:val="0D2045"/>
          <w:sz w:val="19"/>
        </w:rPr>
        <w:t>🟢  MEDIUM TERM — LATE JUNE 2026</w:t>
      </w:r>
    </w:p>
    <w:p>
      <w:pPr>
        <w:pStyle w:val="ListBullet"/>
        <w:spacing w:before="40" w:after="40"/>
        <w:ind w:left="454"/>
      </w:pPr>
      <w:r>
        <w:rPr>
          <w:color w:val="1A2A3A"/>
          <w:sz w:val="19"/>
        </w:rPr>
        <w:t>Budget review once clean conversion data is available from the new landing page. Model £18/day and £25/day scenarios — each additional £5/day (~£150/month) adds an estimated 2–3 incremental bookings.</w:t>
      </w:r>
    </w:p>
    <w:p>
      <w:pPr>
        <w:pStyle w:val="ListBullet"/>
        <w:spacing w:before="40" w:after="40"/>
        <w:ind w:left="454"/>
      </w:pPr>
      <w:r>
        <w:rPr>
          <w:color w:val="1A2A3A"/>
          <w:sz w:val="19"/>
        </w:rPr>
        <w:t>Increase daily budget — Google projects +10% optimisation improvement. Impression share at 20.26% in April vs 30–50% local agent typical — significant headroom available with no major competitor pressure.</w:t>
      </w:r>
    </w:p>
    <w:p/>
    <w:p>
      <w:pPr>
        <w:spacing w:before="160" w:after="80"/>
      </w:pPr>
      <w:r>
        <w:rPr>
          <w:b/>
          <w:i w:val="0"/>
          <w:color w:val="0D2045"/>
          <w:sz w:val="17"/>
        </w:rPr>
        <w:t>APRIL TARGETS vs MAY ACTUALS — JUNE 2026 TARGETS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d2045"/>
            <w:vAlign w:val="center"/>
          </w:tcPr>
          <w:p>
            <w:pPr>
              <w:jc w:val="left"/>
            </w:pPr>
            <w:r>
              <w:rPr>
                <w:b/>
                <w:i w:val="0"/>
                <w:color w:val="FFFFFF"/>
                <w:sz w:val="16"/>
              </w:rPr>
              <w:t>Metric</w:t>
            </w:r>
          </w:p>
        </w:tc>
        <w:tc>
          <w:tcPr>
            <w:tcW w:type="dxa" w:w="1994"/>
            <w:shd w:val="clear" w:color="auto" w:fill="0d2045"/>
            <w:vAlign w:val="center"/>
          </w:tcPr>
          <w:p>
            <w:pPr>
              <w:jc w:val="left"/>
            </w:pPr>
            <w:r>
              <w:rPr>
                <w:b/>
                <w:i w:val="0"/>
                <w:color w:val="FFFFFF"/>
                <w:sz w:val="16"/>
              </w:rPr>
              <w:t>Apr '26 Actual</w:t>
            </w:r>
          </w:p>
        </w:tc>
        <w:tc>
          <w:tcPr>
            <w:tcW w:type="dxa" w:w="1994"/>
            <w:shd w:val="clear" w:color="auto" w:fill="0d2045"/>
            <w:vAlign w:val="center"/>
          </w:tcPr>
          <w:p>
            <w:pPr>
              <w:jc w:val="left"/>
            </w:pPr>
            <w:r>
              <w:rPr>
                <w:b/>
                <w:i w:val="0"/>
                <w:color w:val="FFFFFF"/>
                <w:sz w:val="16"/>
              </w:rPr>
              <w:t>May '26 Target</w:t>
            </w:r>
          </w:p>
        </w:tc>
        <w:tc>
          <w:tcPr>
            <w:tcW w:type="dxa" w:w="1994"/>
            <w:shd w:val="clear" w:color="auto" w:fill="0d2045"/>
            <w:vAlign w:val="center"/>
          </w:tcPr>
          <w:p>
            <w:pPr>
              <w:jc w:val="left"/>
            </w:pPr>
            <w:r>
              <w:rPr>
                <w:b/>
                <w:i w:val="0"/>
                <w:color w:val="FFFFFF"/>
                <w:sz w:val="16"/>
              </w:rPr>
              <w:t>May '26 Actual</w:t>
            </w:r>
          </w:p>
        </w:tc>
        <w:tc>
          <w:tcPr>
            <w:tcW w:type="dxa" w:w="1994"/>
            <w:shd w:val="clear" w:color="auto" w:fill="0d2045"/>
            <w:vAlign w:val="center"/>
          </w:tcPr>
          <w:p>
            <w:pPr>
              <w:jc w:val="left"/>
            </w:pPr>
            <w:r>
              <w:rPr>
                <w:b/>
                <w:i w:val="0"/>
                <w:color w:val="FFFFFF"/>
                <w:sz w:val="16"/>
              </w:rPr>
              <w:t>Jun '26 Target</w:t>
            </w:r>
          </w:p>
        </w:tc>
      </w:tr>
      <w:tr>
        <w:tc>
          <w:tcPr>
            <w:tcW w:type="dxa" w:w="1994"/>
            <w:shd w:val="clear" w:color="auto" w:fill="F7F9FD"/>
            <w:vAlign w:val="center"/>
          </w:tcPr>
          <w:p>
            <w:pPr>
              <w:jc w:val="left"/>
            </w:pPr>
            <w:r>
              <w:rPr>
                <w:b w:val="0"/>
                <w:i w:val="0"/>
                <w:color w:val="1A2A3A"/>
                <w:sz w:val="18"/>
              </w:rPr>
              <w:t>Incremental valuations (above baseline 30)</w:t>
            </w:r>
          </w:p>
        </w:tc>
        <w:tc>
          <w:tcPr>
            <w:tcW w:type="dxa" w:w="1994"/>
            <w:shd w:val="clear" w:color="auto" w:fill="F7F9FD"/>
            <w:vAlign w:val="center"/>
          </w:tcPr>
          <w:p>
            <w:pPr>
              <w:jc w:val="left"/>
            </w:pPr>
            <w:r>
              <w:rPr>
                <w:b w:val="0"/>
                <w:i w:val="0"/>
                <w:color w:val="1A2A3A"/>
                <w:sz w:val="18"/>
              </w:rPr>
              <w:t>4–6 prov.</w:t>
            </w:r>
          </w:p>
        </w:tc>
        <w:tc>
          <w:tcPr>
            <w:tcW w:type="dxa" w:w="1994"/>
            <w:shd w:val="clear" w:color="auto" w:fill="F7F9FD"/>
            <w:vAlign w:val="center"/>
          </w:tcPr>
          <w:p>
            <w:pPr>
              <w:jc w:val="left"/>
            </w:pPr>
            <w:r>
              <w:rPr>
                <w:b w:val="0"/>
                <w:i w:val="0"/>
                <w:color w:val="1A2A3A"/>
                <w:sz w:val="18"/>
              </w:rPr>
              <w:t>+8–12</w:t>
            </w:r>
          </w:p>
        </w:tc>
        <w:tc>
          <w:tcPr>
            <w:tcW w:type="dxa" w:w="1994"/>
            <w:shd w:val="clear" w:color="auto" w:fill="F7F9FD"/>
            <w:vAlign w:val="center"/>
          </w:tcPr>
          <w:p>
            <w:pPr>
              <w:jc w:val="left"/>
            </w:pPr>
            <w:r>
              <w:rPr>
                <w:b w:val="0"/>
                <w:i w:val="0"/>
                <w:color w:val="AA1A1A"/>
                <w:sz w:val="18"/>
              </w:rPr>
              <w:t>1 confirmed*</w:t>
            </w:r>
          </w:p>
        </w:tc>
        <w:tc>
          <w:tcPr>
            <w:tcW w:type="dxa" w:w="1994"/>
            <w:shd w:val="clear" w:color="auto" w:fill="F7F9FD"/>
            <w:vAlign w:val="center"/>
          </w:tcPr>
          <w:p>
            <w:pPr>
              <w:jc w:val="left"/>
            </w:pPr>
            <w:r>
              <w:rPr>
                <w:b w:val="0"/>
                <w:i w:val="0"/>
                <w:color w:val="1A2A3A"/>
                <w:sz w:val="18"/>
              </w:rPr>
              <w:t>+6–10</w:t>
            </w:r>
          </w:p>
        </w:tc>
      </w:tr>
      <w:tr>
        <w:tc>
          <w:tcPr>
            <w:tcW w:type="dxa" w:w="1994"/>
            <w:shd w:val="clear" w:color="auto" w:fill="FFFFFF"/>
            <w:vAlign w:val="center"/>
          </w:tcPr>
          <w:p>
            <w:pPr>
              <w:jc w:val="left"/>
            </w:pPr>
            <w:r>
              <w:rPr>
                <w:b w:val="0"/>
                <w:i w:val="0"/>
                <w:color w:val="1A2A3A"/>
                <w:sz w:val="18"/>
              </w:rPr>
              <w:t>Total monthly valuations</w:t>
            </w:r>
          </w:p>
        </w:tc>
        <w:tc>
          <w:tcPr>
            <w:tcW w:type="dxa" w:w="1994"/>
            <w:shd w:val="clear" w:color="auto" w:fill="FFFFFF"/>
            <w:vAlign w:val="center"/>
          </w:tcPr>
          <w:p>
            <w:pPr>
              <w:jc w:val="left"/>
            </w:pPr>
            <w:r>
              <w:rPr>
                <w:b w:val="0"/>
                <w:i w:val="0"/>
                <w:color w:val="1A2A3A"/>
                <w:sz w:val="18"/>
              </w:rPr>
              <w:t>30+</w:t>
            </w:r>
          </w:p>
        </w:tc>
        <w:tc>
          <w:tcPr>
            <w:tcW w:type="dxa" w:w="1994"/>
            <w:shd w:val="clear" w:color="auto" w:fill="FFFFFF"/>
            <w:vAlign w:val="center"/>
          </w:tcPr>
          <w:p>
            <w:pPr>
              <w:jc w:val="left"/>
            </w:pPr>
            <w:r>
              <w:rPr>
                <w:b w:val="0"/>
                <w:i w:val="0"/>
                <w:color w:val="1A2A3A"/>
                <w:sz w:val="18"/>
              </w:rPr>
              <w:t>38–42</w:t>
            </w:r>
          </w:p>
        </w:tc>
        <w:tc>
          <w:tcPr>
            <w:tcW w:type="dxa" w:w="1994"/>
            <w:shd w:val="clear" w:color="auto" w:fill="FFFFFF"/>
            <w:vAlign w:val="center"/>
          </w:tcPr>
          <w:p>
            <w:pPr>
              <w:jc w:val="left"/>
            </w:pPr>
            <w:r>
              <w:rPr>
                <w:b w:val="0"/>
                <w:i w:val="0"/>
                <w:color w:val="1A2A3A"/>
                <w:sz w:val="18"/>
              </w:rPr>
              <w:t>TBC</w:t>
            </w:r>
          </w:p>
        </w:tc>
        <w:tc>
          <w:tcPr>
            <w:tcW w:type="dxa" w:w="1994"/>
            <w:shd w:val="clear" w:color="auto" w:fill="FFFFFF"/>
            <w:vAlign w:val="center"/>
          </w:tcPr>
          <w:p>
            <w:pPr>
              <w:jc w:val="left"/>
            </w:pPr>
            <w:r>
              <w:rPr>
                <w:b w:val="0"/>
                <w:i w:val="0"/>
                <w:color w:val="1A2A3A"/>
                <w:sz w:val="18"/>
              </w:rPr>
              <w:t>36–40</w:t>
            </w:r>
          </w:p>
        </w:tc>
      </w:tr>
      <w:tr>
        <w:tc>
          <w:tcPr>
            <w:tcW w:type="dxa" w:w="1994"/>
            <w:shd w:val="clear" w:color="auto" w:fill="F7F9FD"/>
            <w:vAlign w:val="center"/>
          </w:tcPr>
          <w:p>
            <w:pPr>
              <w:jc w:val="left"/>
            </w:pPr>
            <w:r>
              <w:rPr>
                <w:b w:val="0"/>
                <w:i w:val="0"/>
                <w:color w:val="1A2A3A"/>
                <w:sz w:val="18"/>
              </w:rPr>
              <w:t>Landing page conv. rate</w:t>
            </w:r>
          </w:p>
        </w:tc>
        <w:tc>
          <w:tcPr>
            <w:tcW w:type="dxa" w:w="1994"/>
            <w:shd w:val="clear" w:color="auto" w:fill="F7F9FD"/>
            <w:vAlign w:val="center"/>
          </w:tcPr>
          <w:p>
            <w:pPr>
              <w:jc w:val="left"/>
            </w:pPr>
            <w:r>
              <w:rPr>
                <w:b w:val="0"/>
                <w:i w:val="0"/>
                <w:color w:val="1A2A3A"/>
                <w:sz w:val="18"/>
              </w:rPr>
              <w:t>1.9–2.8%</w:t>
            </w:r>
          </w:p>
        </w:tc>
        <w:tc>
          <w:tcPr>
            <w:tcW w:type="dxa" w:w="1994"/>
            <w:shd w:val="clear" w:color="auto" w:fill="F7F9FD"/>
            <w:vAlign w:val="center"/>
          </w:tcPr>
          <w:p>
            <w:pPr>
              <w:jc w:val="left"/>
            </w:pPr>
            <w:r>
              <w:rPr>
                <w:b w:val="0"/>
                <w:i w:val="0"/>
                <w:color w:val="1A2A3A"/>
                <w:sz w:val="18"/>
              </w:rPr>
              <w:t>4%+</w:t>
            </w:r>
          </w:p>
        </w:tc>
        <w:tc>
          <w:tcPr>
            <w:tcW w:type="dxa" w:w="1994"/>
            <w:shd w:val="clear" w:color="auto" w:fill="F7F9FD"/>
            <w:vAlign w:val="center"/>
          </w:tcPr>
          <w:p>
            <w:pPr>
              <w:jc w:val="left"/>
            </w:pPr>
            <w:r>
              <w:rPr>
                <w:b w:val="0"/>
                <w:i w:val="0"/>
                <w:color w:val="AA1A1A"/>
                <w:sz w:val="18"/>
              </w:rPr>
              <w:t>Not measured*</w:t>
            </w:r>
          </w:p>
        </w:tc>
        <w:tc>
          <w:tcPr>
            <w:tcW w:type="dxa" w:w="1994"/>
            <w:shd w:val="clear" w:color="auto" w:fill="F7F9FD"/>
            <w:vAlign w:val="center"/>
          </w:tcPr>
          <w:p>
            <w:pPr>
              <w:jc w:val="left"/>
            </w:pPr>
            <w:r>
              <w:rPr>
                <w:b w:val="0"/>
                <w:i w:val="0"/>
                <w:color w:val="1A2A3A"/>
                <w:sz w:val="18"/>
              </w:rPr>
              <w:t>3–5% (new page)</w:t>
            </w:r>
          </w:p>
        </w:tc>
      </w:tr>
      <w:tr>
        <w:tc>
          <w:tcPr>
            <w:tcW w:type="dxa" w:w="1994"/>
            <w:shd w:val="clear" w:color="auto" w:fill="FFFFFF"/>
            <w:vAlign w:val="center"/>
          </w:tcPr>
          <w:p>
            <w:pPr>
              <w:jc w:val="left"/>
            </w:pPr>
            <w:r>
              <w:rPr>
                <w:b w:val="0"/>
                <w:i w:val="0"/>
                <w:color w:val="1A2A3A"/>
                <w:sz w:val="18"/>
              </w:rPr>
              <w:t>Optimisation score</w:t>
            </w:r>
          </w:p>
        </w:tc>
        <w:tc>
          <w:tcPr>
            <w:tcW w:type="dxa" w:w="1994"/>
            <w:shd w:val="clear" w:color="auto" w:fill="FFFFFF"/>
            <w:vAlign w:val="center"/>
          </w:tcPr>
          <w:p>
            <w:pPr>
              <w:jc w:val="left"/>
            </w:pPr>
            <w:r>
              <w:rPr>
                <w:b w:val="0"/>
                <w:i w:val="0"/>
                <w:color w:val="1A2A3A"/>
                <w:sz w:val="18"/>
              </w:rPr>
              <w:t>74.4%</w:t>
            </w:r>
          </w:p>
        </w:tc>
        <w:tc>
          <w:tcPr>
            <w:tcW w:type="dxa" w:w="1994"/>
            <w:shd w:val="clear" w:color="auto" w:fill="FFFFFF"/>
            <w:vAlign w:val="center"/>
          </w:tcPr>
          <w:p>
            <w:pPr>
              <w:jc w:val="left"/>
            </w:pPr>
            <w:r>
              <w:rPr>
                <w:b w:val="0"/>
                <w:i w:val="0"/>
                <w:color w:val="1A2A3A"/>
                <w:sz w:val="18"/>
              </w:rPr>
              <w:t>80%+</w:t>
            </w:r>
          </w:p>
        </w:tc>
        <w:tc>
          <w:tcPr>
            <w:tcW w:type="dxa" w:w="1994"/>
            <w:shd w:val="clear" w:color="auto" w:fill="FFFFFF"/>
            <w:vAlign w:val="center"/>
          </w:tcPr>
          <w:p>
            <w:pPr>
              <w:jc w:val="left"/>
            </w:pPr>
            <w:r>
              <w:rPr>
                <w:b/>
                <w:i w:val="0"/>
                <w:color w:val="0A5A20"/>
                <w:sz w:val="18"/>
              </w:rPr>
              <w:t>90% ✓</w:t>
            </w:r>
          </w:p>
        </w:tc>
        <w:tc>
          <w:tcPr>
            <w:tcW w:type="dxa" w:w="1994"/>
            <w:shd w:val="clear" w:color="auto" w:fill="FFFFFF"/>
            <w:vAlign w:val="center"/>
          </w:tcPr>
          <w:p>
            <w:pPr>
              <w:jc w:val="left"/>
            </w:pPr>
            <w:r>
              <w:rPr>
                <w:b w:val="0"/>
                <w:i w:val="0"/>
                <w:color w:val="1A2A3A"/>
                <w:sz w:val="18"/>
              </w:rPr>
              <w:t>90%+</w:t>
            </w:r>
          </w:p>
        </w:tc>
      </w:tr>
      <w:tr>
        <w:tc>
          <w:tcPr>
            <w:tcW w:type="dxa" w:w="1994"/>
            <w:shd w:val="clear" w:color="auto" w:fill="F7F9FD"/>
            <w:vAlign w:val="center"/>
          </w:tcPr>
          <w:p>
            <w:pPr>
              <w:jc w:val="left"/>
            </w:pPr>
            <w:r>
              <w:rPr>
                <w:b w:val="0"/>
                <w:i w:val="0"/>
                <w:color w:val="1A2A3A"/>
                <w:sz w:val="18"/>
              </w:rPr>
              <w:t>CTR</w:t>
            </w:r>
          </w:p>
        </w:tc>
        <w:tc>
          <w:tcPr>
            <w:tcW w:type="dxa" w:w="1994"/>
            <w:shd w:val="clear" w:color="auto" w:fill="F7F9FD"/>
            <w:vAlign w:val="center"/>
          </w:tcPr>
          <w:p>
            <w:pPr>
              <w:jc w:val="left"/>
            </w:pPr>
            <w:r>
              <w:rPr>
                <w:b w:val="0"/>
                <w:i w:val="0"/>
                <w:color w:val="1A2A3A"/>
                <w:sz w:val="18"/>
              </w:rPr>
              <w:t>9.13%</w:t>
            </w:r>
          </w:p>
        </w:tc>
        <w:tc>
          <w:tcPr>
            <w:tcW w:type="dxa" w:w="1994"/>
            <w:shd w:val="clear" w:color="auto" w:fill="F7F9FD"/>
            <w:vAlign w:val="center"/>
          </w:tcPr>
          <w:p>
            <w:pPr>
              <w:jc w:val="left"/>
            </w:pPr>
            <w:r>
              <w:rPr>
                <w:b w:val="0"/>
                <w:i w:val="0"/>
                <w:color w:val="1A2A3A"/>
                <w:sz w:val="18"/>
              </w:rPr>
              <w:t>10%+</w:t>
            </w:r>
          </w:p>
        </w:tc>
        <w:tc>
          <w:tcPr>
            <w:tcW w:type="dxa" w:w="1994"/>
            <w:shd w:val="clear" w:color="auto" w:fill="F7F9FD"/>
            <w:vAlign w:val="center"/>
          </w:tcPr>
          <w:p>
            <w:pPr>
              <w:jc w:val="left"/>
            </w:pPr>
            <w:r>
              <w:rPr>
                <w:b/>
                <w:i w:val="0"/>
                <w:color w:val="0A5A20"/>
                <w:sz w:val="18"/>
              </w:rPr>
              <w:t>13.12% ✓</w:t>
            </w:r>
          </w:p>
        </w:tc>
        <w:tc>
          <w:tcPr>
            <w:tcW w:type="dxa" w:w="1994"/>
            <w:shd w:val="clear" w:color="auto" w:fill="F7F9FD"/>
            <w:vAlign w:val="center"/>
          </w:tcPr>
          <w:p>
            <w:pPr>
              <w:jc w:val="left"/>
            </w:pPr>
            <w:r>
              <w:rPr>
                <w:b w:val="0"/>
                <w:i w:val="0"/>
                <w:color w:val="1A2A3A"/>
                <w:sz w:val="18"/>
              </w:rPr>
              <w:t>12%+</w:t>
            </w:r>
          </w:p>
        </w:tc>
      </w:tr>
      <w:tr>
        <w:tc>
          <w:tcPr>
            <w:tcW w:type="dxa" w:w="1994"/>
            <w:shd w:val="clear" w:color="auto" w:fill="FFFFFF"/>
            <w:vAlign w:val="center"/>
          </w:tcPr>
          <w:p>
            <w:pPr>
              <w:jc w:val="left"/>
            </w:pPr>
            <w:r>
              <w:rPr>
                <w:b w:val="0"/>
                <w:i w:val="0"/>
                <w:color w:val="1A2A3A"/>
                <w:sz w:val="18"/>
              </w:rPr>
              <w:t>Avg. CPC</w:t>
            </w:r>
          </w:p>
        </w:tc>
        <w:tc>
          <w:tcPr>
            <w:tcW w:type="dxa" w:w="1994"/>
            <w:shd w:val="clear" w:color="auto" w:fill="FFFFFF"/>
            <w:vAlign w:val="center"/>
          </w:tcPr>
          <w:p>
            <w:pPr>
              <w:jc w:val="left"/>
            </w:pPr>
            <w:r>
              <w:rPr>
                <w:b w:val="0"/>
                <w:i w:val="0"/>
                <w:color w:val="1A2A3A"/>
                <w:sz w:val="18"/>
              </w:rPr>
              <w:t>£1.87</w:t>
            </w:r>
          </w:p>
        </w:tc>
        <w:tc>
          <w:tcPr>
            <w:tcW w:type="dxa" w:w="1994"/>
            <w:shd w:val="clear" w:color="auto" w:fill="FFFFFF"/>
            <w:vAlign w:val="center"/>
          </w:tcPr>
          <w:p>
            <w:pPr>
              <w:jc w:val="left"/>
            </w:pPr>
            <w:r>
              <w:rPr>
                <w:b w:val="0"/>
                <w:i w:val="0"/>
                <w:color w:val="1A2A3A"/>
                <w:sz w:val="18"/>
              </w:rPr>
              <w:t>↓ Improve</w:t>
            </w:r>
          </w:p>
        </w:tc>
        <w:tc>
          <w:tcPr>
            <w:tcW w:type="dxa" w:w="1994"/>
            <w:shd w:val="clear" w:color="auto" w:fill="FFFFFF"/>
            <w:vAlign w:val="center"/>
          </w:tcPr>
          <w:p>
            <w:pPr>
              <w:jc w:val="left"/>
            </w:pPr>
            <w:r>
              <w:rPr>
                <w:b w:val="0"/>
                <w:i w:val="0"/>
                <w:color w:val="1A2A3A"/>
                <w:sz w:val="18"/>
              </w:rPr>
              <w:t>[ADD]</w:t>
            </w:r>
          </w:p>
        </w:tc>
        <w:tc>
          <w:tcPr>
            <w:tcW w:type="dxa" w:w="1994"/>
            <w:shd w:val="clear" w:color="auto" w:fill="FFFFFF"/>
            <w:vAlign w:val="center"/>
          </w:tcPr>
          <w:p>
            <w:pPr>
              <w:jc w:val="left"/>
            </w:pPr>
            <w:r>
              <w:rPr>
                <w:b w:val="0"/>
                <w:i w:val="0"/>
                <w:color w:val="1A2A3A"/>
                <w:sz w:val="18"/>
              </w:rPr>
              <w:t>Under £1.87</w:t>
            </w:r>
          </w:p>
        </w:tc>
      </w:tr>
    </w:tbl>
    <w:p>
      <w:pPr>
        <w:spacing w:before="80" w:after="80"/>
      </w:pPr>
      <w:r>
        <w:rPr>
          <w:b w:val="0"/>
          <w:i/>
          <w:color w:val="8899AA"/>
          <w:sz w:val="16"/>
        </w:rPr>
        <w:t>* Landing page conversion failure persisted through May. Issue resolved with new page launched 2 June. Incremental booking shortfall is a tracking/UX issue, not a demand problem.</w:t>
      </w:r>
    </w:p>
    <w:p>
      <w:pPr>
        <w:spacing w:before="40" w:after="160"/>
        <w:pBdr>
          <w:bottom w:val="single" w:sz="4" w:color="C8A840"/>
        </w:pBdr>
      </w:pPr>
    </w:p>
    <w:p>
      <w:pPr>
        <w:spacing w:before="160"/>
        <w:jc w:val="center"/>
      </w:pPr>
      <w:r>
        <w:rPr>
          <w:color w:val="8899AA"/>
          <w:sz w:val="16"/>
        </w:rPr>
        <w:t>Oakden Creative  ·  Alex McMillan  ·  +44 7546 702079  ·  mcmillan_alex@icloud.com</w:t>
        <w:br/>
        <w:t>Prepared for Johnsons Chartered Surveyors  ·  May 2026  ·  Confidential</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